
<file path=[Content_Types].xml><?xml version="1.0" encoding="utf-8"?>
<Types xmlns="http://schemas.openxmlformats.org/package/2006/content-types">
  <Default Extension="jpg" ContentType="image/jpeg"/>
  <Default Extension="rels" ContentType="application/vnd.openxmlformats-package.relationships+xml"/>
  <Default Extension="ttf" ContentType="application/x-font-ttf"/>
  <Default Extension="xml" ContentType="application/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comments.xml" ContentType="application/vnd.openxmlformats-officedocument.wordprocessingml.comment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word/commentsExtended.xml" ContentType="application/vnd.openxmlformats-officedocument.wordprocessingml.commentsExtended+xml"/>
  <Override PartName="/docProps/custom.xml" ContentType="application/vnd.openxmlformats-officedocument.custom-properties+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Title"/>
        <w:jc w:val="center"/>
        <w:rPr/>
      </w:pPr>
      <w:r w:rsidDel="00000000" w:rsidR="00000000" w:rsidRPr="00000000">
        <w:rPr/>
        <w:drawing>
          <wp:inline distB="0" distT="0" distL="0" distR="0">
            <wp:extent cx="3271004" cy="1590363"/>
            <wp:effectExtent b="0" l="0" r="0" t="0"/>
            <wp:docPr descr="A picture containing drawing&#10;&#10;Description automatically generated" id="7" name="image1.jpg"/>
            <a:graphic>
              <a:graphicData uri="http://schemas.openxmlformats.org/drawingml/2006/picture">
                <pic:pic>
                  <pic:nvPicPr>
                    <pic:cNvPr descr="A picture containing drawing&#10;&#10;Description automatically generated" id="0" name="image1.jpg"/>
                    <pic:cNvPicPr preferRelativeResize="0"/>
                  </pic:nvPicPr>
                  <pic:blipFill>
                    <a:blip r:embed="rId10"/>
                    <a:srcRect b="0" l="0" r="0" t="0"/>
                    <a:stretch>
                      <a:fillRect/>
                    </a:stretch>
                  </pic:blipFill>
                  <pic:spPr>
                    <a:xfrm>
                      <a:off x="0" y="0"/>
                      <a:ext cx="3271004" cy="1590363"/>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pStyle w:val="Title"/>
        <w:rPr/>
      </w:pPr>
      <w:r w:rsidDel="00000000" w:rsidR="00000000" w:rsidRPr="00000000">
        <w:rPr>
          <w:rtl w:val="0"/>
        </w:rPr>
      </w:r>
    </w:p>
    <w:p w:rsidR="00000000" w:rsidDel="00000000" w:rsidP="00000000" w:rsidRDefault="00000000" w:rsidRPr="00000000" w14:paraId="00000005">
      <w:pPr>
        <w:pStyle w:val="Title"/>
        <w:rPr/>
      </w:pPr>
      <w:r w:rsidDel="00000000" w:rsidR="00000000" w:rsidRPr="00000000">
        <w:rPr>
          <w:rtl w:val="0"/>
        </w:rPr>
      </w:r>
    </w:p>
    <w:p w:rsidR="00000000" w:rsidDel="00000000" w:rsidP="00000000" w:rsidRDefault="00000000" w:rsidRPr="00000000" w14:paraId="00000006">
      <w:pPr>
        <w:pStyle w:val="Title"/>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Title"/>
        <w:rPr/>
      </w:pPr>
      <w:r w:rsidDel="00000000" w:rsidR="00000000" w:rsidRPr="00000000">
        <w:rPr>
          <w:rtl w:val="0"/>
        </w:rPr>
      </w:r>
    </w:p>
    <w:p w:rsidR="00000000" w:rsidDel="00000000" w:rsidP="00000000" w:rsidRDefault="00000000" w:rsidRPr="00000000" w14:paraId="0000000A">
      <w:pPr>
        <w:pStyle w:val="Title"/>
        <w:rPr/>
      </w:pPr>
      <w:r w:rsidDel="00000000" w:rsidR="00000000" w:rsidRPr="00000000">
        <w:rPr>
          <w:rtl w:val="0"/>
        </w:rPr>
      </w:r>
    </w:p>
    <w:p w:rsidR="00000000" w:rsidDel="00000000" w:rsidP="00000000" w:rsidRDefault="00000000" w:rsidRPr="00000000" w14:paraId="0000000B">
      <w:pPr>
        <w:pStyle w:val="Title"/>
        <w:rPr/>
      </w:pPr>
      <w:r w:rsidDel="00000000" w:rsidR="00000000" w:rsidRPr="00000000">
        <w:rPr>
          <w:rtl w:val="0"/>
        </w:rPr>
      </w:r>
    </w:p>
    <w:p w:rsidR="00000000" w:rsidDel="00000000" w:rsidP="00000000" w:rsidRDefault="00000000" w:rsidRPr="00000000" w14:paraId="0000000C">
      <w:pPr>
        <w:jc w:val="center"/>
        <w:rPr>
          <w:rFonts w:ascii="Montserrat Medium" w:cs="Montserrat Medium" w:eastAsia="Montserrat Medium" w:hAnsi="Montserrat Medium"/>
          <w:smallCaps w:val="1"/>
          <w:color w:val="0d0d0d"/>
          <w:sz w:val="56"/>
          <w:szCs w:val="56"/>
        </w:rPr>
      </w:pPr>
      <w:r w:rsidDel="00000000" w:rsidR="00000000" w:rsidRPr="00000000">
        <w:rPr>
          <w:rFonts w:ascii="Montserrat Medium" w:cs="Montserrat Medium" w:eastAsia="Montserrat Medium" w:hAnsi="Montserrat Medium"/>
          <w:smallCaps w:val="1"/>
          <w:color w:val="0d0d0d"/>
          <w:sz w:val="56"/>
          <w:szCs w:val="56"/>
          <w:rtl w:val="0"/>
        </w:rPr>
        <w:t xml:space="preserve">ACTIVIDADES DEL MAPEO DE acciones de PREVENCIÓN DEL SUICIDIO Y LAS AUTOLESIONES EN LAS SOCIEDADES DE LA CRUZ ROJA Y LA MEDIA LUNA ROJA   </w:t>
      </w:r>
    </w:p>
    <w:p w:rsidR="00000000" w:rsidDel="00000000" w:rsidP="00000000" w:rsidRDefault="00000000" w:rsidRPr="00000000" w14:paraId="0000000D">
      <w:pPr>
        <w:jc w:val="center"/>
        <w:rPr>
          <w:rFonts w:ascii="Montserrat Medium" w:cs="Montserrat Medium" w:eastAsia="Montserrat Medium" w:hAnsi="Montserrat Medium"/>
          <w:smallCaps w:val="1"/>
          <w:color w:val="0d0d0d"/>
          <w:sz w:val="56"/>
          <w:szCs w:val="56"/>
        </w:rPr>
      </w:pPr>
      <w:r w:rsidDel="00000000" w:rsidR="00000000" w:rsidRPr="00000000">
        <w:rPr>
          <w:rtl w:val="0"/>
        </w:rPr>
      </w:r>
    </w:p>
    <w:p w:rsidR="00000000" w:rsidDel="00000000" w:rsidP="00000000" w:rsidRDefault="00000000" w:rsidRPr="00000000" w14:paraId="0000000E">
      <w:pPr>
        <w:jc w:val="center"/>
        <w:rPr>
          <w:rFonts w:ascii="Open Sans" w:cs="Open Sans" w:eastAsia="Open Sans" w:hAnsi="Open Sans"/>
        </w:rPr>
      </w:pPr>
      <w:r w:rsidDel="00000000" w:rsidR="00000000" w:rsidRPr="00000000">
        <w:rPr>
          <w:rFonts w:ascii="Open Sans" w:cs="Open Sans" w:eastAsia="Open Sans" w:hAnsi="Open Sans"/>
          <w:rtl w:val="0"/>
        </w:rPr>
        <w:t xml:space="preserve">Resultados de la encuesta de la mapeo interno septiembre-octubre de 2020</w:t>
      </w:r>
    </w:p>
    <w:p w:rsidR="00000000" w:rsidDel="00000000" w:rsidP="00000000" w:rsidRDefault="00000000" w:rsidRPr="00000000" w14:paraId="0000000F">
      <w:pPr>
        <w:pStyle w:val="Heading1"/>
        <w:rPr>
          <w:rFonts w:ascii="Helvetica Neue" w:cs="Helvetica Neue" w:eastAsia="Helvetica Neue" w:hAnsi="Helvetica Neue"/>
          <w:color w:val="c00000"/>
          <w:sz w:val="32"/>
          <w:szCs w:val="32"/>
        </w:rPr>
      </w:pPr>
      <w:r w:rsidDel="00000000" w:rsidR="00000000" w:rsidRPr="00000000">
        <w:rPr>
          <w:rtl w:val="0"/>
        </w:rPr>
      </w:r>
    </w:p>
    <w:p w:rsidR="00000000" w:rsidDel="00000000" w:rsidP="00000000" w:rsidRDefault="00000000" w:rsidRPr="00000000" w14:paraId="00000010">
      <w:pPr>
        <w:spacing w:after="160" w:lineRule="auto"/>
        <w:rPr>
          <w:rFonts w:ascii="Montserrat" w:cs="Montserrat" w:eastAsia="Montserrat" w:hAnsi="Montserrat"/>
          <w:b w:val="1"/>
          <w:color w:val="c00000"/>
          <w:sz w:val="32"/>
          <w:szCs w:val="32"/>
        </w:rPr>
      </w:pPr>
      <w:r w:rsidDel="00000000" w:rsidR="00000000" w:rsidRPr="00000000">
        <w:br w:type="page"/>
      </w:r>
      <w:r w:rsidDel="00000000" w:rsidR="00000000" w:rsidRPr="00000000">
        <w:rPr>
          <w:rFonts w:ascii="Montserrat" w:cs="Montserrat" w:eastAsia="Montserrat" w:hAnsi="Montserrat"/>
          <w:b w:val="1"/>
          <w:color w:val="c00000"/>
          <w:sz w:val="32"/>
          <w:szCs w:val="32"/>
          <w:rtl w:val="0"/>
        </w:rPr>
        <w:t xml:space="preserve">Resumen de las principales conclusiones</w:t>
      </w:r>
    </w:p>
    <w:p w:rsidR="00000000" w:rsidDel="00000000" w:rsidP="00000000" w:rsidRDefault="00000000" w:rsidRPr="00000000" w14:paraId="00000011">
      <w:pPr>
        <w:rPr>
          <w:rFonts w:ascii="Montserrat" w:cs="Montserrat" w:eastAsia="Montserrat" w:hAnsi="Montserrat"/>
          <w:b w:val="1"/>
          <w:color w:val="000000"/>
          <w:sz w:val="26"/>
          <w:szCs w:val="26"/>
        </w:rPr>
      </w:pPr>
      <w:r w:rsidDel="00000000" w:rsidR="00000000" w:rsidRPr="00000000">
        <w:rPr>
          <w:rFonts w:ascii="Montserrat" w:cs="Montserrat" w:eastAsia="Montserrat" w:hAnsi="Montserrat"/>
          <w:b w:val="1"/>
          <w:sz w:val="26"/>
          <w:szCs w:val="26"/>
          <w:rtl w:val="0"/>
        </w:rPr>
        <w:t xml:space="preserve">Contexto</w:t>
      </w:r>
      <w:r w:rsidDel="00000000" w:rsidR="00000000" w:rsidRPr="00000000">
        <w:rPr>
          <w:rtl w:val="0"/>
        </w:rPr>
      </w:r>
    </w:p>
    <w:p w:rsidR="00000000" w:rsidDel="00000000" w:rsidP="00000000" w:rsidRDefault="00000000" w:rsidRPr="00000000" w14:paraId="00000012">
      <w:pPr>
        <w:rPr>
          <w:rFonts w:ascii="Open Sans" w:cs="Open Sans" w:eastAsia="Open Sans" w:hAnsi="Open Sans"/>
        </w:rPr>
      </w:pPr>
      <w:r w:rsidDel="00000000" w:rsidR="00000000" w:rsidRPr="00000000">
        <w:rPr>
          <w:rFonts w:ascii="Open Sans" w:cs="Open Sans" w:eastAsia="Open Sans" w:hAnsi="Open Sans"/>
          <w:rtl w:val="0"/>
        </w:rPr>
        <w:t xml:space="preserve">Tras la publicación de la </w:t>
      </w:r>
      <w:sdt>
        <w:sdtPr>
          <w:tag w:val="goog_rdk_0"/>
        </w:sdtPr>
        <w:sdtContent>
          <w:commentRangeStart w:id="0"/>
        </w:sdtContent>
      </w:sdt>
      <w:r w:rsidDel="00000000" w:rsidR="00000000" w:rsidRPr="00000000">
        <w:rPr>
          <w:rFonts w:ascii="Open Sans" w:cs="Open Sans" w:eastAsia="Open Sans" w:hAnsi="Open Sans"/>
          <w:rtl w:val="0"/>
        </w:rPr>
        <w:t xml:space="preserve">guia de Prevención del Suicidio</w:t>
      </w:r>
      <w:commentRangeEnd w:id="0"/>
      <w:r w:rsidDel="00000000" w:rsidR="00000000" w:rsidRPr="00000000">
        <w:commentReference w:id="0"/>
      </w:r>
      <w:r w:rsidDel="00000000" w:rsidR="00000000" w:rsidRPr="00000000">
        <w:rPr>
          <w:rFonts w:ascii="Open Sans" w:cs="Open Sans" w:eastAsia="Open Sans" w:hAnsi="Open Sans"/>
          <w:rtl w:val="0"/>
        </w:rPr>
        <w:t xml:space="preserve"> del Centro Psicosocial de la FICR durante el COVID-19, se llevó a cabo un breve ejercicio de mapeo. </w:t>
      </w:r>
      <w:r w:rsidDel="00000000" w:rsidR="00000000" w:rsidRPr="00000000">
        <w:rPr>
          <w:rFonts w:ascii="Open Sans" w:cs="Open Sans" w:eastAsia="Open Sans" w:hAnsi="Open Sans"/>
          <w:rtl w:val="0"/>
        </w:rPr>
        <w:t xml:space="preserve"> El mapeo de las actividades de </w:t>
      </w:r>
      <w:r w:rsidDel="00000000" w:rsidR="00000000" w:rsidRPr="00000000">
        <w:rPr>
          <w:rFonts w:ascii="Open Sans" w:cs="Open Sans" w:eastAsia="Open Sans" w:hAnsi="Open Sans"/>
          <w:i w:val="1"/>
          <w:rtl w:val="0"/>
        </w:rPr>
        <w:t xml:space="preserve">prevención del Suicidio y las Autolesiones</w:t>
      </w:r>
      <w:r w:rsidDel="00000000" w:rsidR="00000000" w:rsidRPr="00000000">
        <w:rPr>
          <w:rFonts w:ascii="Open Sans" w:cs="Open Sans" w:eastAsia="Open Sans" w:hAnsi="Open Sans"/>
          <w:rtl w:val="0"/>
        </w:rPr>
        <w:t xml:space="preserve"> en las Sociedades de la Cruz Roja y la Media Luna Roja se abrió en septiembre de 2020 a todas las Sociedades Nacionales.</w:t>
      </w:r>
      <w:r w:rsidDel="00000000" w:rsidR="00000000" w:rsidRPr="00000000">
        <w:rPr>
          <w:rFonts w:ascii="Open Sans" w:cs="Open Sans" w:eastAsia="Open Sans" w:hAnsi="Open Sans"/>
          <w:rtl w:val="0"/>
        </w:rPr>
        <w:t xml:space="preserve">  La encuesta fue promovida a través de las cuentas de medios sociales del Centro PS de la FICR, así como a través de varios canales de la FICR. La encuesta constaba de catorce preguntas que indagaban sobre las actividades existentes que las Sociedades Nacionales están coduciendo para promover la prevención del suicidio y el daño autoinfligido, así como sobre los recursos y apoyos adicionales que considerarían más útiles. Participaron en la encuesta 17 personas, que representaban a 12 Sociedades Nacionales (véase el cuadro 1). Los resultados completos de la encuesta se pueden encontrar </w:t>
      </w:r>
      <w:hyperlink r:id="rId11">
        <w:r w:rsidDel="00000000" w:rsidR="00000000" w:rsidRPr="00000000">
          <w:rPr>
            <w:rFonts w:ascii="Open Sans" w:cs="Open Sans" w:eastAsia="Open Sans" w:hAnsi="Open Sans"/>
            <w:color w:val="1155cc"/>
            <w:u w:val="single"/>
            <w:rtl w:val="0"/>
          </w:rPr>
          <w:t xml:space="preserve">aquí</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013">
      <w:pPr>
        <w:rPr>
          <w:rFonts w:ascii="Open Sans" w:cs="Open Sans" w:eastAsia="Open Sans" w:hAnsi="Open Sans"/>
        </w:rPr>
      </w:pPr>
      <w:r w:rsidDel="00000000" w:rsidR="00000000" w:rsidRPr="00000000">
        <w:rPr>
          <w:rtl w:val="0"/>
        </w:rPr>
      </w:r>
    </w:p>
    <w:tbl>
      <w:tblPr>
        <w:tblStyle w:val="Table1"/>
        <w:tblW w:w="962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9628"/>
        <w:tblGridChange w:id="0">
          <w:tblGrid>
            <w:gridCol w:w="9628"/>
          </w:tblGrid>
        </w:tblGridChange>
      </w:tblGrid>
      <w:tr>
        <w:trPr>
          <w:cantSplit w:val="0"/>
          <w:tblHeader w:val="0"/>
        </w:trPr>
        <w:tc>
          <w:tcPr/>
          <w:p w:rsidR="00000000" w:rsidDel="00000000" w:rsidP="00000000" w:rsidRDefault="00000000" w:rsidRPr="00000000" w14:paraId="00000014">
            <w:pPr>
              <w:rPr>
                <w:rFonts w:ascii="Open Sans" w:cs="Open Sans" w:eastAsia="Open Sans" w:hAnsi="Open Sans"/>
              </w:rPr>
            </w:pPr>
            <w:r w:rsidDel="00000000" w:rsidR="00000000" w:rsidRPr="00000000">
              <w:rPr>
                <w:rFonts w:ascii="Open Sans" w:cs="Open Sans" w:eastAsia="Open Sans" w:hAnsi="Open Sans"/>
                <w:rtl w:val="0"/>
              </w:rPr>
              <w:t xml:space="preserve">Tabla 1. Sociedad Nacional Participante</w:t>
            </w:r>
          </w:p>
        </w:tc>
      </w:tr>
      <w:tr>
        <w:trPr>
          <w:cantSplit w:val="0"/>
          <w:tblHeader w:val="0"/>
        </w:trPr>
        <w:tc>
          <w:tcPr/>
          <w:p w:rsidR="00000000" w:rsidDel="00000000" w:rsidP="00000000" w:rsidRDefault="00000000" w:rsidRPr="00000000" w14:paraId="00000015">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Americana</w:t>
            </w:r>
          </w:p>
        </w:tc>
      </w:tr>
      <w:tr>
        <w:trPr>
          <w:cantSplit w:val="0"/>
          <w:tblHeader w:val="0"/>
        </w:trPr>
        <w:tc>
          <w:tcPr/>
          <w:p w:rsidR="00000000" w:rsidDel="00000000" w:rsidP="00000000" w:rsidRDefault="00000000" w:rsidRPr="00000000" w14:paraId="00000016">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de Liberia</w:t>
            </w:r>
          </w:p>
        </w:tc>
      </w:tr>
      <w:tr>
        <w:trPr>
          <w:cantSplit w:val="0"/>
          <w:tblHeader w:val="0"/>
        </w:trPr>
        <w:tc>
          <w:tcPr/>
          <w:p w:rsidR="00000000" w:rsidDel="00000000" w:rsidP="00000000" w:rsidRDefault="00000000" w:rsidRPr="00000000" w14:paraId="00000017">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Noruega</w:t>
            </w:r>
          </w:p>
        </w:tc>
      </w:tr>
      <w:tr>
        <w:trPr>
          <w:cantSplit w:val="0"/>
          <w:tblHeader w:val="0"/>
        </w:trPr>
        <w:tc>
          <w:tcPr/>
          <w:p w:rsidR="00000000" w:rsidDel="00000000" w:rsidP="00000000" w:rsidRDefault="00000000" w:rsidRPr="00000000" w14:paraId="00000018">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Belga x3</w:t>
            </w:r>
          </w:p>
        </w:tc>
      </w:tr>
      <w:tr>
        <w:trPr>
          <w:cantSplit w:val="0"/>
          <w:tblHeader w:val="0"/>
        </w:trPr>
        <w:tc>
          <w:tcPr/>
          <w:p w:rsidR="00000000" w:rsidDel="00000000" w:rsidP="00000000" w:rsidRDefault="00000000" w:rsidRPr="00000000" w14:paraId="00000019">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Francesa</w:t>
            </w:r>
          </w:p>
        </w:tc>
      </w:tr>
      <w:tr>
        <w:trPr>
          <w:cantSplit w:val="0"/>
          <w:tblHeader w:val="0"/>
        </w:trPr>
        <w:tc>
          <w:tcPr/>
          <w:p w:rsidR="00000000" w:rsidDel="00000000" w:rsidP="00000000" w:rsidRDefault="00000000" w:rsidRPr="00000000" w14:paraId="0000001A">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Ecuatoriana</w:t>
            </w:r>
          </w:p>
        </w:tc>
      </w:tr>
      <w:tr>
        <w:trPr>
          <w:cantSplit w:val="0"/>
          <w:tblHeader w:val="0"/>
        </w:trPr>
        <w:tc>
          <w:tcPr/>
          <w:p w:rsidR="00000000" w:rsidDel="00000000" w:rsidP="00000000" w:rsidRDefault="00000000" w:rsidRPr="00000000" w14:paraId="0000001B">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Malaya x3</w:t>
            </w:r>
          </w:p>
        </w:tc>
      </w:tr>
      <w:tr>
        <w:trPr>
          <w:cantSplit w:val="0"/>
          <w:tblHeader w:val="0"/>
        </w:trPr>
        <w:tc>
          <w:tcPr/>
          <w:p w:rsidR="00000000" w:rsidDel="00000000" w:rsidP="00000000" w:rsidRDefault="00000000" w:rsidRPr="00000000" w14:paraId="0000001C">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Checa</w:t>
            </w:r>
          </w:p>
        </w:tc>
      </w:tr>
      <w:tr>
        <w:trPr>
          <w:cantSplit w:val="0"/>
          <w:tblHeader w:val="0"/>
        </w:trPr>
        <w:tc>
          <w:tcPr/>
          <w:p w:rsidR="00000000" w:rsidDel="00000000" w:rsidP="00000000" w:rsidRDefault="00000000" w:rsidRPr="00000000" w14:paraId="0000001D">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Italiana</w:t>
            </w:r>
          </w:p>
        </w:tc>
      </w:tr>
      <w:tr>
        <w:trPr>
          <w:cantSplit w:val="0"/>
          <w:tblHeader w:val="0"/>
        </w:trPr>
        <w:tc>
          <w:tcPr/>
          <w:p w:rsidR="00000000" w:rsidDel="00000000" w:rsidP="00000000" w:rsidRDefault="00000000" w:rsidRPr="00000000" w14:paraId="0000001E">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de Costa Rica</w:t>
            </w:r>
          </w:p>
        </w:tc>
      </w:tr>
      <w:tr>
        <w:trPr>
          <w:cantSplit w:val="0"/>
          <w:tblHeader w:val="0"/>
        </w:trPr>
        <w:tc>
          <w:tcPr/>
          <w:p w:rsidR="00000000" w:rsidDel="00000000" w:rsidP="00000000" w:rsidRDefault="00000000" w:rsidRPr="00000000" w14:paraId="0000001F">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Australiana</w:t>
            </w:r>
          </w:p>
        </w:tc>
      </w:tr>
      <w:tr>
        <w:trPr>
          <w:cantSplit w:val="0"/>
          <w:tblHeader w:val="0"/>
        </w:trPr>
        <w:tc>
          <w:tcPr/>
          <w:p w:rsidR="00000000" w:rsidDel="00000000" w:rsidP="00000000" w:rsidRDefault="00000000" w:rsidRPr="00000000" w14:paraId="00000020">
            <w:pPr>
              <w:rPr>
                <w:rFonts w:ascii="Open Sans" w:cs="Open Sans" w:eastAsia="Open Sans" w:hAnsi="Open Sans"/>
                <w:b w:val="0"/>
              </w:rPr>
            </w:pPr>
            <w:r w:rsidDel="00000000" w:rsidR="00000000" w:rsidRPr="00000000">
              <w:rPr>
                <w:rFonts w:ascii="Open Sans" w:cs="Open Sans" w:eastAsia="Open Sans" w:hAnsi="Open Sans"/>
                <w:b w:val="0"/>
                <w:rtl w:val="0"/>
              </w:rPr>
              <w:t xml:space="preserve">Turquía y Siria (Organización Esperanza y Renacimiento)</w:t>
            </w:r>
          </w:p>
        </w:tc>
      </w:tr>
      <w:tr>
        <w:trPr>
          <w:cantSplit w:val="0"/>
          <w:tblHeader w:val="0"/>
        </w:trPr>
        <w:tc>
          <w:tcPr/>
          <w:p w:rsidR="00000000" w:rsidDel="00000000" w:rsidP="00000000" w:rsidRDefault="00000000" w:rsidRPr="00000000" w14:paraId="00000021">
            <w:pPr>
              <w:rPr>
                <w:rFonts w:ascii="Open Sans" w:cs="Open Sans" w:eastAsia="Open Sans" w:hAnsi="Open Sans"/>
                <w:b w:val="0"/>
              </w:rPr>
            </w:pPr>
            <w:r w:rsidDel="00000000" w:rsidR="00000000" w:rsidRPr="00000000">
              <w:rPr>
                <w:rFonts w:ascii="Open Sans" w:cs="Open Sans" w:eastAsia="Open Sans" w:hAnsi="Open Sans"/>
                <w:b w:val="0"/>
                <w:rtl w:val="0"/>
              </w:rPr>
              <w:t xml:space="preserve">Cruz Roja Islandesa</w:t>
            </w:r>
          </w:p>
        </w:tc>
      </w:tr>
    </w:tbl>
    <w:p w:rsidR="00000000" w:rsidDel="00000000" w:rsidP="00000000" w:rsidRDefault="00000000" w:rsidRPr="00000000" w14:paraId="00000022">
      <w:pPr>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rPr>
          <w:rFonts w:ascii="Montserrat" w:cs="Montserrat" w:eastAsia="Montserrat" w:hAnsi="Montserrat"/>
          <w:b w:val="1"/>
          <w:color w:val="000000"/>
          <w:sz w:val="26"/>
          <w:szCs w:val="26"/>
        </w:rPr>
      </w:pPr>
      <w:r w:rsidDel="00000000" w:rsidR="00000000" w:rsidRPr="00000000">
        <w:rPr>
          <w:rFonts w:ascii="Montserrat" w:cs="Montserrat" w:eastAsia="Montserrat" w:hAnsi="Montserrat"/>
          <w:b w:val="1"/>
          <w:sz w:val="26"/>
          <w:szCs w:val="26"/>
          <w:rtl w:val="0"/>
        </w:rPr>
        <w:t xml:space="preserve">Principales Resultados</w:t>
      </w:r>
      <w:r w:rsidDel="00000000" w:rsidR="00000000" w:rsidRPr="00000000">
        <w:rPr>
          <w:rFonts w:ascii="Montserrat" w:cs="Montserrat" w:eastAsia="Montserrat" w:hAnsi="Montserrat"/>
          <w:color w:val="000000"/>
          <w:sz w:val="26"/>
          <w:szCs w:val="26"/>
          <w:vertAlign w:val="superscript"/>
        </w:rPr>
        <w:footnoteReference w:customMarkFollows="0" w:id="0"/>
      </w:r>
      <w:r w:rsidDel="00000000" w:rsidR="00000000" w:rsidRPr="00000000">
        <w:rPr>
          <w:rtl w:val="0"/>
        </w:rPr>
      </w:r>
    </w:p>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rtl w:val="0"/>
        </w:rPr>
        <w:t xml:space="preserve">El 47% (ocho) de los encuestados informaron de que tienen actividades de prevención del suicidio y las autolesiones dentro de sus actividades existentes. El 18% (tres) informó de que no tenía actividades de prevención del suicidio y las autolesiones, y el resto informó de que, aunque tenía actividades psicosociales, no estaba seguro de que las actividades estuvieran relacionadas específicamente con el tema de la prevención del suicidio y las autolesiones.  </w:t>
      </w:r>
    </w:p>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rtl w:val="0"/>
        </w:rPr>
        <w:t xml:space="preserve">De las actividades especificadas por las Sociedades Nacionales, el apoyo psicosocial (79%) junto con el fortalecimiento de la capacidad y la formación de los voluntarios (57%) fueron las más comunes, y la evaluación y gestión del riesgo (7%) y las actividades de sensibilización y política (7%) fueron las menos comunes. Véase en el cuadro 2 la lista de actividades encuestadas y las respuestas de las Sociedades Nacionales que informaron sobre esta cuestión.  </w:t>
      </w:r>
    </w:p>
    <w:p w:rsidR="00000000" w:rsidDel="00000000" w:rsidP="00000000" w:rsidRDefault="00000000" w:rsidRPr="00000000" w14:paraId="00000026">
      <w:pPr>
        <w:rPr>
          <w:rFonts w:ascii="Open Sans" w:cs="Open Sans" w:eastAsia="Open Sans" w:hAnsi="Open Sans"/>
        </w:rPr>
      </w:pPr>
      <w:r w:rsidDel="00000000" w:rsidR="00000000" w:rsidRPr="00000000">
        <w:rPr>
          <w:rFonts w:ascii="Open Sans" w:cs="Open Sans" w:eastAsia="Open Sans" w:hAnsi="Open Sans"/>
          <w:rtl w:val="0"/>
        </w:rPr>
        <w:t xml:space="preserve">Los encuestados indicaron que la derivación a servicios especializados era la estrategia de gestión más utilizada para la prevención de las autolesiones y el suicidio (67%), siendo también valiosos los formularios de evaluación de riesgos y las plantillas de planes de seguridad (25% respectivamente). Tres encuestados (25%) indicaron que no tenían la opción de remitir a los servicios especializados, ni tenían formularios de evaluación de riesgos, plantillas de planes de seguridad o planes de atención o tratamiento.  </w:t>
      </w:r>
    </w:p>
    <w:p w:rsidR="00000000" w:rsidDel="00000000" w:rsidP="00000000" w:rsidRDefault="00000000" w:rsidRPr="00000000" w14:paraId="00000027">
      <w:pPr>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rPr>
          <w:rFonts w:ascii="Open Sans" w:cs="Open Sans" w:eastAsia="Open Sans" w:hAnsi="Open Sans"/>
          <w:b w:val="1"/>
        </w:rPr>
      </w:pPr>
      <w:r w:rsidDel="00000000" w:rsidR="00000000" w:rsidRPr="00000000">
        <w:rPr>
          <w:rFonts w:ascii="Open Sans" w:cs="Open Sans" w:eastAsia="Open Sans" w:hAnsi="Open Sans"/>
          <w:b w:val="1"/>
          <w:rtl w:val="0"/>
        </w:rPr>
        <w:t xml:space="preserve">Tabla 2. Actividades de prevención del suicidio y las autolesiones que se están llevando a cabo </w:t>
      </w:r>
    </w:p>
    <w:p w:rsidR="00000000" w:rsidDel="00000000" w:rsidP="00000000" w:rsidRDefault="00000000" w:rsidRPr="00000000" w14:paraId="00000029">
      <w:pPr>
        <w:rPr>
          <w:rFonts w:ascii="Open Sans" w:cs="Open Sans" w:eastAsia="Open Sans" w:hAnsi="Open Sans"/>
          <w:b w:val="1"/>
        </w:rPr>
      </w:pPr>
      <w:r w:rsidDel="00000000" w:rsidR="00000000" w:rsidRPr="00000000">
        <w:rPr>
          <w:rtl w:val="0"/>
        </w:rPr>
      </w:r>
    </w:p>
    <w:tbl>
      <w:tblPr>
        <w:tblStyle w:val="Table2"/>
        <w:tblW w:w="962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4814"/>
        <w:gridCol w:w="4814"/>
        <w:tblGridChange w:id="0">
          <w:tblGrid>
            <w:gridCol w:w="4814"/>
            <w:gridCol w:w="4814"/>
          </w:tblGrid>
        </w:tblGridChange>
      </w:tblGrid>
      <w:tr>
        <w:trPr>
          <w:cantSplit w:val="0"/>
          <w:tblHeader w:val="0"/>
        </w:trPr>
        <w:tc>
          <w:tcPr/>
          <w:p w:rsidR="00000000" w:rsidDel="00000000" w:rsidP="00000000" w:rsidRDefault="00000000" w:rsidRPr="00000000" w14:paraId="0000002A">
            <w:pPr>
              <w:rPr>
                <w:rFonts w:ascii="Open Sans" w:cs="Open Sans" w:eastAsia="Open Sans" w:hAnsi="Open Sans"/>
              </w:rPr>
            </w:pPr>
            <w:r w:rsidDel="00000000" w:rsidR="00000000" w:rsidRPr="00000000">
              <w:rPr>
                <w:rFonts w:ascii="Open Sans" w:cs="Open Sans" w:eastAsia="Open Sans" w:hAnsi="Open Sans"/>
                <w:rtl w:val="0"/>
              </w:rPr>
              <w:t xml:space="preserve">Actividades</w:t>
            </w:r>
          </w:p>
        </w:tc>
        <w:tc>
          <w:tcPr/>
          <w:p w:rsidR="00000000" w:rsidDel="00000000" w:rsidP="00000000" w:rsidRDefault="00000000" w:rsidRPr="00000000" w14:paraId="0000002B">
            <w:pPr>
              <w:rPr>
                <w:rFonts w:ascii="Open Sans" w:cs="Open Sans" w:eastAsia="Open Sans" w:hAnsi="Open Sans"/>
              </w:rPr>
            </w:pPr>
            <w:r w:rsidDel="00000000" w:rsidR="00000000" w:rsidRPr="00000000">
              <w:rPr>
                <w:rFonts w:ascii="Open Sans" w:cs="Open Sans" w:eastAsia="Open Sans" w:hAnsi="Open Sans"/>
                <w:rtl w:val="0"/>
              </w:rPr>
              <w:t xml:space="preserve">Porcentaje de los encuestados que aplican</w:t>
            </w:r>
          </w:p>
        </w:tc>
      </w:tr>
      <w:tr>
        <w:trPr>
          <w:cantSplit w:val="0"/>
          <w:tblHeader w:val="0"/>
        </w:trPr>
        <w:tc>
          <w:tcPr/>
          <w:p w:rsidR="00000000" w:rsidDel="00000000" w:rsidP="00000000" w:rsidRDefault="00000000" w:rsidRPr="00000000" w14:paraId="0000002C">
            <w:pPr>
              <w:rPr>
                <w:rFonts w:ascii="Open Sans" w:cs="Open Sans" w:eastAsia="Open Sans" w:hAnsi="Open Sans"/>
                <w:b w:val="0"/>
              </w:rPr>
            </w:pPr>
            <w:r w:rsidDel="00000000" w:rsidR="00000000" w:rsidRPr="00000000">
              <w:rPr>
                <w:rFonts w:ascii="Open Sans" w:cs="Open Sans" w:eastAsia="Open Sans" w:hAnsi="Open Sans"/>
                <w:b w:val="0"/>
                <w:rtl w:val="0"/>
              </w:rPr>
              <w:t xml:space="preserve">Campañas de divulgación en la comunidad</w:t>
            </w:r>
          </w:p>
        </w:tc>
        <w:tc>
          <w:tcPr/>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rtl w:val="0"/>
              </w:rPr>
              <w:t xml:space="preserve">36%</w:t>
            </w:r>
          </w:p>
        </w:tc>
      </w:tr>
      <w:tr>
        <w:trPr>
          <w:cantSplit w:val="0"/>
          <w:tblHeader w:val="0"/>
        </w:trPr>
        <w:tc>
          <w:tcPr/>
          <w:p w:rsidR="00000000" w:rsidDel="00000000" w:rsidP="00000000" w:rsidRDefault="00000000" w:rsidRPr="00000000" w14:paraId="0000002E">
            <w:pPr>
              <w:rPr>
                <w:rFonts w:ascii="Open Sans" w:cs="Open Sans" w:eastAsia="Open Sans" w:hAnsi="Open Sans"/>
                <w:b w:val="0"/>
              </w:rPr>
            </w:pPr>
            <w:r w:rsidDel="00000000" w:rsidR="00000000" w:rsidRPr="00000000">
              <w:rPr>
                <w:rFonts w:ascii="Open Sans" w:cs="Open Sans" w:eastAsia="Open Sans" w:hAnsi="Open Sans"/>
                <w:b w:val="0"/>
                <w:rtl w:val="0"/>
              </w:rPr>
              <w:t xml:space="preserve">Planes locales o nacionales de prevención del sucidio</w:t>
            </w:r>
          </w:p>
        </w:tc>
        <w:tc>
          <w:tcPr/>
          <w:p w:rsidR="00000000" w:rsidDel="00000000" w:rsidP="00000000" w:rsidRDefault="00000000" w:rsidRPr="00000000" w14:paraId="0000002F">
            <w:pPr>
              <w:rPr>
                <w:rFonts w:ascii="Open Sans" w:cs="Open Sans" w:eastAsia="Open Sans" w:hAnsi="Open Sans"/>
              </w:rPr>
            </w:pPr>
            <w:r w:rsidDel="00000000" w:rsidR="00000000" w:rsidRPr="00000000">
              <w:rPr>
                <w:rFonts w:ascii="Open Sans" w:cs="Open Sans" w:eastAsia="Open Sans" w:hAnsi="Open Sans"/>
                <w:rtl w:val="0"/>
              </w:rPr>
              <w:t xml:space="preserve">14%</w:t>
            </w:r>
          </w:p>
        </w:tc>
      </w:tr>
      <w:tr>
        <w:trPr>
          <w:cantSplit w:val="0"/>
          <w:tblHeader w:val="0"/>
        </w:trPr>
        <w:tc>
          <w:tcPr/>
          <w:p w:rsidR="00000000" w:rsidDel="00000000" w:rsidP="00000000" w:rsidRDefault="00000000" w:rsidRPr="00000000" w14:paraId="00000030">
            <w:pPr>
              <w:rPr>
                <w:rFonts w:ascii="Open Sans" w:cs="Open Sans" w:eastAsia="Open Sans" w:hAnsi="Open Sans"/>
                <w:b w:val="0"/>
              </w:rPr>
            </w:pPr>
            <w:r w:rsidDel="00000000" w:rsidR="00000000" w:rsidRPr="00000000">
              <w:rPr>
                <w:rFonts w:ascii="Open Sans" w:cs="Open Sans" w:eastAsia="Open Sans" w:hAnsi="Open Sans"/>
                <w:b w:val="0"/>
                <w:rtl w:val="0"/>
              </w:rPr>
              <w:t xml:space="preserve">Abogacía y política</w:t>
            </w:r>
          </w:p>
        </w:tc>
        <w:tc>
          <w:tcPr/>
          <w:p w:rsidR="00000000" w:rsidDel="00000000" w:rsidP="00000000" w:rsidRDefault="00000000" w:rsidRPr="00000000" w14:paraId="00000031">
            <w:pPr>
              <w:rPr>
                <w:rFonts w:ascii="Open Sans" w:cs="Open Sans" w:eastAsia="Open Sans" w:hAnsi="Open Sans"/>
              </w:rPr>
            </w:pPr>
            <w:r w:rsidDel="00000000" w:rsidR="00000000" w:rsidRPr="00000000">
              <w:rPr>
                <w:rFonts w:ascii="Open Sans" w:cs="Open Sans" w:eastAsia="Open Sans" w:hAnsi="Open Sans"/>
                <w:rtl w:val="0"/>
              </w:rPr>
              <w:t xml:space="preserve">7%</w:t>
            </w:r>
          </w:p>
        </w:tc>
      </w:tr>
      <w:tr>
        <w:trPr>
          <w:cantSplit w:val="0"/>
          <w:tblHeader w:val="0"/>
        </w:trPr>
        <w:tc>
          <w:tcPr/>
          <w:p w:rsidR="00000000" w:rsidDel="00000000" w:rsidP="00000000" w:rsidRDefault="00000000" w:rsidRPr="00000000" w14:paraId="00000032">
            <w:pPr>
              <w:rPr>
                <w:rFonts w:ascii="Open Sans" w:cs="Open Sans" w:eastAsia="Open Sans" w:hAnsi="Open Sans"/>
                <w:b w:val="0"/>
              </w:rPr>
            </w:pPr>
            <w:r w:rsidDel="00000000" w:rsidR="00000000" w:rsidRPr="00000000">
              <w:rPr>
                <w:rFonts w:ascii="Open Sans" w:cs="Open Sans" w:eastAsia="Open Sans" w:hAnsi="Open Sans"/>
                <w:b w:val="0"/>
                <w:rtl w:val="0"/>
              </w:rPr>
              <w:t xml:space="preserve">Líneas de ayuda en caso de crisis</w:t>
            </w:r>
          </w:p>
        </w:tc>
        <w:tc>
          <w:tcPr/>
          <w:p w:rsidR="00000000" w:rsidDel="00000000" w:rsidP="00000000" w:rsidRDefault="00000000" w:rsidRPr="00000000" w14:paraId="00000033">
            <w:pPr>
              <w:rPr>
                <w:rFonts w:ascii="Open Sans" w:cs="Open Sans" w:eastAsia="Open Sans" w:hAnsi="Open Sans"/>
              </w:rPr>
            </w:pPr>
            <w:r w:rsidDel="00000000" w:rsidR="00000000" w:rsidRPr="00000000">
              <w:rPr>
                <w:rFonts w:ascii="Open Sans" w:cs="Open Sans" w:eastAsia="Open Sans" w:hAnsi="Open Sans"/>
                <w:rtl w:val="0"/>
              </w:rPr>
              <w:t xml:space="preserve">43%</w:t>
            </w:r>
          </w:p>
        </w:tc>
      </w:tr>
      <w:tr>
        <w:trPr>
          <w:cantSplit w:val="0"/>
          <w:tblHeader w:val="0"/>
        </w:trPr>
        <w:tc>
          <w:tcPr/>
          <w:p w:rsidR="00000000" w:rsidDel="00000000" w:rsidP="00000000" w:rsidRDefault="00000000" w:rsidRPr="00000000" w14:paraId="00000034">
            <w:pPr>
              <w:rPr>
                <w:rFonts w:ascii="Open Sans" w:cs="Open Sans" w:eastAsia="Open Sans" w:hAnsi="Open Sans"/>
                <w:b w:val="0"/>
              </w:rPr>
            </w:pPr>
            <w:r w:rsidDel="00000000" w:rsidR="00000000" w:rsidRPr="00000000">
              <w:rPr>
                <w:rFonts w:ascii="Open Sans" w:cs="Open Sans" w:eastAsia="Open Sans" w:hAnsi="Open Sans"/>
                <w:b w:val="0"/>
                <w:rtl w:val="0"/>
              </w:rPr>
              <w:t xml:space="preserve">Apoyo psicosocial</w:t>
            </w:r>
          </w:p>
        </w:tc>
        <w:tc>
          <w:tcPr/>
          <w:p w:rsidR="00000000" w:rsidDel="00000000" w:rsidP="00000000" w:rsidRDefault="00000000" w:rsidRPr="00000000" w14:paraId="00000035">
            <w:pPr>
              <w:rPr>
                <w:rFonts w:ascii="Open Sans" w:cs="Open Sans" w:eastAsia="Open Sans" w:hAnsi="Open Sans"/>
              </w:rPr>
            </w:pPr>
            <w:r w:rsidDel="00000000" w:rsidR="00000000" w:rsidRPr="00000000">
              <w:rPr>
                <w:rFonts w:ascii="Open Sans" w:cs="Open Sans" w:eastAsia="Open Sans" w:hAnsi="Open Sans"/>
                <w:rtl w:val="0"/>
              </w:rPr>
              <w:t xml:space="preserve">79%</w:t>
            </w:r>
          </w:p>
        </w:tc>
      </w:tr>
      <w:tr>
        <w:trPr>
          <w:cantSplit w:val="0"/>
          <w:tblHeader w:val="0"/>
        </w:trPr>
        <w:tc>
          <w:tcPr/>
          <w:p w:rsidR="00000000" w:rsidDel="00000000" w:rsidP="00000000" w:rsidRDefault="00000000" w:rsidRPr="00000000" w14:paraId="00000036">
            <w:pPr>
              <w:rPr>
                <w:rFonts w:ascii="Open Sans" w:cs="Open Sans" w:eastAsia="Open Sans" w:hAnsi="Open Sans"/>
                <w:b w:val="0"/>
              </w:rPr>
            </w:pPr>
            <w:r w:rsidDel="00000000" w:rsidR="00000000" w:rsidRPr="00000000">
              <w:rPr>
                <w:rFonts w:ascii="Open Sans" w:cs="Open Sans" w:eastAsia="Open Sans" w:hAnsi="Open Sans"/>
                <w:b w:val="0"/>
                <w:rtl w:val="0"/>
              </w:rPr>
              <w:t xml:space="preserve">Evaluación y gestión de riesgos</w:t>
            </w:r>
          </w:p>
        </w:tc>
        <w:tc>
          <w:tcPr/>
          <w:p w:rsidR="00000000" w:rsidDel="00000000" w:rsidP="00000000" w:rsidRDefault="00000000" w:rsidRPr="00000000" w14:paraId="00000037">
            <w:pPr>
              <w:rPr>
                <w:rFonts w:ascii="Open Sans" w:cs="Open Sans" w:eastAsia="Open Sans" w:hAnsi="Open Sans"/>
              </w:rPr>
            </w:pPr>
            <w:r w:rsidDel="00000000" w:rsidR="00000000" w:rsidRPr="00000000">
              <w:rPr>
                <w:rFonts w:ascii="Open Sans" w:cs="Open Sans" w:eastAsia="Open Sans" w:hAnsi="Open Sans"/>
                <w:rtl w:val="0"/>
              </w:rPr>
              <w:t xml:space="preserve">7%</w:t>
            </w:r>
          </w:p>
        </w:tc>
      </w:tr>
      <w:tr>
        <w:trPr>
          <w:cantSplit w:val="0"/>
          <w:tblHeader w:val="0"/>
        </w:trPr>
        <w:tc>
          <w:tcPr/>
          <w:p w:rsidR="00000000" w:rsidDel="00000000" w:rsidP="00000000" w:rsidRDefault="00000000" w:rsidRPr="00000000" w14:paraId="00000038">
            <w:pPr>
              <w:rPr>
                <w:rFonts w:ascii="Open Sans" w:cs="Open Sans" w:eastAsia="Open Sans" w:hAnsi="Open Sans"/>
                <w:b w:val="0"/>
              </w:rPr>
            </w:pPr>
            <w:r w:rsidDel="00000000" w:rsidR="00000000" w:rsidRPr="00000000">
              <w:rPr>
                <w:rFonts w:ascii="Open Sans" w:cs="Open Sans" w:eastAsia="Open Sans" w:hAnsi="Open Sans"/>
                <w:b w:val="0"/>
                <w:rtl w:val="0"/>
              </w:rPr>
              <w:t xml:space="preserve">Desarrollo de capacidades y formación de voluntarios</w:t>
            </w:r>
          </w:p>
        </w:tc>
        <w:tc>
          <w:tcPr/>
          <w:p w:rsidR="00000000" w:rsidDel="00000000" w:rsidP="00000000" w:rsidRDefault="00000000" w:rsidRPr="00000000" w14:paraId="00000039">
            <w:pPr>
              <w:rPr>
                <w:rFonts w:ascii="Open Sans" w:cs="Open Sans" w:eastAsia="Open Sans" w:hAnsi="Open Sans"/>
              </w:rPr>
            </w:pPr>
            <w:r w:rsidDel="00000000" w:rsidR="00000000" w:rsidRPr="00000000">
              <w:rPr>
                <w:rFonts w:ascii="Open Sans" w:cs="Open Sans" w:eastAsia="Open Sans" w:hAnsi="Open Sans"/>
                <w:rtl w:val="0"/>
              </w:rPr>
              <w:t xml:space="preserve">57%</w:t>
            </w:r>
          </w:p>
        </w:tc>
      </w:tr>
      <w:tr>
        <w:trPr>
          <w:cantSplit w:val="0"/>
          <w:tblHeader w:val="0"/>
        </w:trPr>
        <w:tc>
          <w:tcPr/>
          <w:p w:rsidR="00000000" w:rsidDel="00000000" w:rsidP="00000000" w:rsidRDefault="00000000" w:rsidRPr="00000000" w14:paraId="0000003A">
            <w:pPr>
              <w:rPr>
                <w:rFonts w:ascii="Open Sans" w:cs="Open Sans" w:eastAsia="Open Sans" w:hAnsi="Open Sans"/>
                <w:b w:val="0"/>
              </w:rPr>
            </w:pPr>
            <w:r w:rsidDel="00000000" w:rsidR="00000000" w:rsidRPr="00000000">
              <w:rPr>
                <w:rFonts w:ascii="Open Sans" w:cs="Open Sans" w:eastAsia="Open Sans" w:hAnsi="Open Sans"/>
                <w:b w:val="0"/>
                <w:rtl w:val="0"/>
              </w:rPr>
              <w:t xml:space="preserve">Otros</w:t>
            </w:r>
          </w:p>
        </w:tc>
        <w:tc>
          <w:tcPr/>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36%</w:t>
            </w:r>
          </w:p>
        </w:tc>
      </w:tr>
    </w:tbl>
    <w:p w:rsidR="00000000" w:rsidDel="00000000" w:rsidP="00000000" w:rsidRDefault="00000000" w:rsidRPr="00000000" w14:paraId="0000003C">
      <w:pPr>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rPr>
      </w:pPr>
      <w:r w:rsidDel="00000000" w:rsidR="00000000" w:rsidRPr="00000000">
        <w:rPr>
          <w:rFonts w:ascii="Open Sans" w:cs="Open Sans" w:eastAsia="Open Sans" w:hAnsi="Open Sans"/>
          <w:rtl w:val="0"/>
        </w:rPr>
        <w:t xml:space="preserve">Se preguntó a las Sociedades Nacionales acerca de los principales problemas para prevenir y abordar el suicidio y las autolesiones en sus contextos (véase el cuadro 3). La falta de personal debidamente capacitado y calificado fue el principal obstáculo (76%), y los estigmas y tabúes culturales y/o contextuales fueron el segundo desafío más citado (47%).</w:t>
      </w:r>
    </w:p>
    <w:p w:rsidR="00000000" w:rsidDel="00000000" w:rsidP="00000000" w:rsidRDefault="00000000" w:rsidRPr="00000000" w14:paraId="0000003E">
      <w:pPr>
        <w:rPr>
          <w:rFonts w:ascii="Open Sans" w:cs="Open Sans" w:eastAsia="Open Sans" w:hAnsi="Open Sans"/>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b w:val="1"/>
        </w:rPr>
      </w:pPr>
      <w:r w:rsidDel="00000000" w:rsidR="00000000" w:rsidRPr="00000000">
        <w:rPr>
          <w:rFonts w:ascii="Open Sans" w:cs="Open Sans" w:eastAsia="Open Sans" w:hAnsi="Open Sans"/>
          <w:b w:val="1"/>
          <w:rtl w:val="0"/>
        </w:rPr>
        <w:t xml:space="preserve">Tabla 3. Retos principales para prevenir y abordar las actividades de prevención del suicidio y las autolesiones</w:t>
      </w:r>
    </w:p>
    <w:p w:rsidR="00000000" w:rsidDel="00000000" w:rsidP="00000000" w:rsidRDefault="00000000" w:rsidRPr="00000000" w14:paraId="00000040">
      <w:pPr>
        <w:rPr>
          <w:rFonts w:ascii="Open Sans" w:cs="Open Sans" w:eastAsia="Open Sans" w:hAnsi="Open Sans"/>
          <w:b w:val="1"/>
        </w:rPr>
      </w:pPr>
      <w:r w:rsidDel="00000000" w:rsidR="00000000" w:rsidRPr="00000000">
        <w:rPr>
          <w:rtl w:val="0"/>
        </w:rPr>
      </w:r>
    </w:p>
    <w:tbl>
      <w:tblPr>
        <w:tblStyle w:val="Table3"/>
        <w:tblW w:w="962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4814"/>
        <w:gridCol w:w="4814"/>
        <w:tblGridChange w:id="0">
          <w:tblGrid>
            <w:gridCol w:w="4814"/>
            <w:gridCol w:w="4814"/>
          </w:tblGrid>
        </w:tblGridChange>
      </w:tblGrid>
      <w:tr>
        <w:trPr>
          <w:cantSplit w:val="0"/>
          <w:tblHeader w:val="0"/>
        </w:trPr>
        <w:tc>
          <w:tcPr/>
          <w:p w:rsidR="00000000" w:rsidDel="00000000" w:rsidP="00000000" w:rsidRDefault="00000000" w:rsidRPr="00000000" w14:paraId="00000041">
            <w:pPr>
              <w:rPr>
                <w:rFonts w:ascii="Open Sans" w:cs="Open Sans" w:eastAsia="Open Sans" w:hAnsi="Open Sans"/>
              </w:rPr>
            </w:pPr>
            <w:r w:rsidDel="00000000" w:rsidR="00000000" w:rsidRPr="00000000">
              <w:rPr>
                <w:rFonts w:ascii="Open Sans" w:cs="Open Sans" w:eastAsia="Open Sans" w:hAnsi="Open Sans"/>
                <w:rtl w:val="0"/>
              </w:rPr>
              <w:t xml:space="preserve">Desafíos principales</w:t>
            </w:r>
          </w:p>
        </w:tc>
        <w:tc>
          <w:tcPr/>
          <w:p w:rsidR="00000000" w:rsidDel="00000000" w:rsidP="00000000" w:rsidRDefault="00000000" w:rsidRPr="00000000" w14:paraId="00000042">
            <w:pPr>
              <w:rPr>
                <w:rFonts w:ascii="Open Sans" w:cs="Open Sans" w:eastAsia="Open Sans" w:hAnsi="Open Sans"/>
              </w:rPr>
            </w:pPr>
            <w:r w:rsidDel="00000000" w:rsidR="00000000" w:rsidRPr="00000000">
              <w:rPr>
                <w:rFonts w:ascii="Open Sans" w:cs="Open Sans" w:eastAsia="Open Sans" w:hAnsi="Open Sans"/>
                <w:rtl w:val="0"/>
              </w:rPr>
              <w:t xml:space="preserve">Porcentaje</w:t>
            </w:r>
          </w:p>
        </w:tc>
      </w:tr>
      <w:tr>
        <w:trPr>
          <w:cantSplit w:val="0"/>
          <w:tblHeader w:val="0"/>
        </w:trPr>
        <w:tc>
          <w:tcPr/>
          <w:p w:rsidR="00000000" w:rsidDel="00000000" w:rsidP="00000000" w:rsidRDefault="00000000" w:rsidRPr="00000000" w14:paraId="00000043">
            <w:pPr>
              <w:rPr>
                <w:rFonts w:ascii="Open Sans" w:cs="Open Sans" w:eastAsia="Open Sans" w:hAnsi="Open Sans"/>
                <w:b w:val="0"/>
              </w:rPr>
            </w:pPr>
            <w:r w:rsidDel="00000000" w:rsidR="00000000" w:rsidRPr="00000000">
              <w:rPr>
                <w:rFonts w:ascii="Open Sans" w:cs="Open Sans" w:eastAsia="Open Sans" w:hAnsi="Open Sans"/>
                <w:b w:val="0"/>
                <w:rtl w:val="0"/>
              </w:rPr>
              <w:t xml:space="preserve">Estigma y tabú cultural y/o contextual</w:t>
            </w:r>
          </w:p>
        </w:tc>
        <w:tc>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47%</w:t>
            </w:r>
          </w:p>
        </w:tc>
      </w:tr>
      <w:tr>
        <w:trPr>
          <w:cantSplit w:val="0"/>
          <w:tblHeader w:val="0"/>
        </w:trPr>
        <w:tc>
          <w:tcPr/>
          <w:p w:rsidR="00000000" w:rsidDel="00000000" w:rsidP="00000000" w:rsidRDefault="00000000" w:rsidRPr="00000000" w14:paraId="00000045">
            <w:pPr>
              <w:rPr>
                <w:rFonts w:ascii="Open Sans" w:cs="Open Sans" w:eastAsia="Open Sans" w:hAnsi="Open Sans"/>
                <w:b w:val="0"/>
              </w:rPr>
            </w:pPr>
            <w:r w:rsidDel="00000000" w:rsidR="00000000" w:rsidRPr="00000000">
              <w:rPr>
                <w:rFonts w:ascii="Open Sans" w:cs="Open Sans" w:eastAsia="Open Sans" w:hAnsi="Open Sans"/>
                <w:b w:val="0"/>
                <w:rtl w:val="0"/>
              </w:rPr>
              <w:t xml:space="preserve">Falta de financiación</w:t>
            </w:r>
          </w:p>
        </w:tc>
        <w:tc>
          <w:tcPr/>
          <w:p w:rsidR="00000000" w:rsidDel="00000000" w:rsidP="00000000" w:rsidRDefault="00000000" w:rsidRPr="00000000" w14:paraId="00000046">
            <w:pPr>
              <w:rPr>
                <w:rFonts w:ascii="Open Sans" w:cs="Open Sans" w:eastAsia="Open Sans" w:hAnsi="Open Sans"/>
              </w:rPr>
            </w:pPr>
            <w:r w:rsidDel="00000000" w:rsidR="00000000" w:rsidRPr="00000000">
              <w:rPr>
                <w:rFonts w:ascii="Open Sans" w:cs="Open Sans" w:eastAsia="Open Sans" w:hAnsi="Open Sans"/>
                <w:rtl w:val="0"/>
              </w:rPr>
              <w:t xml:space="preserve">41%</w:t>
            </w:r>
          </w:p>
        </w:tc>
      </w:tr>
      <w:tr>
        <w:trPr>
          <w:cantSplit w:val="0"/>
          <w:tblHeader w:val="0"/>
        </w:trPr>
        <w:tc>
          <w:tcPr/>
          <w:p w:rsidR="00000000" w:rsidDel="00000000" w:rsidP="00000000" w:rsidRDefault="00000000" w:rsidRPr="00000000" w14:paraId="00000047">
            <w:pPr>
              <w:rPr>
                <w:rFonts w:ascii="Open Sans" w:cs="Open Sans" w:eastAsia="Open Sans" w:hAnsi="Open Sans"/>
                <w:b w:val="0"/>
              </w:rPr>
            </w:pPr>
            <w:r w:rsidDel="00000000" w:rsidR="00000000" w:rsidRPr="00000000">
              <w:rPr>
                <w:rFonts w:ascii="Open Sans" w:cs="Open Sans" w:eastAsia="Open Sans" w:hAnsi="Open Sans"/>
                <w:b w:val="0"/>
                <w:rtl w:val="0"/>
              </w:rPr>
              <w:t xml:space="preserve">Falta de personal debidamente formado y cualificado</w:t>
            </w:r>
          </w:p>
        </w:tc>
        <w:tc>
          <w:tcPr/>
          <w:p w:rsidR="00000000" w:rsidDel="00000000" w:rsidP="00000000" w:rsidRDefault="00000000" w:rsidRPr="00000000" w14:paraId="00000048">
            <w:pPr>
              <w:rPr>
                <w:rFonts w:ascii="Open Sans" w:cs="Open Sans" w:eastAsia="Open Sans" w:hAnsi="Open Sans"/>
              </w:rPr>
            </w:pPr>
            <w:r w:rsidDel="00000000" w:rsidR="00000000" w:rsidRPr="00000000">
              <w:rPr>
                <w:rFonts w:ascii="Open Sans" w:cs="Open Sans" w:eastAsia="Open Sans" w:hAnsi="Open Sans"/>
                <w:rtl w:val="0"/>
              </w:rPr>
              <w:t xml:space="preserve">76 %</w:t>
            </w:r>
          </w:p>
        </w:tc>
      </w:tr>
      <w:tr>
        <w:trPr>
          <w:cantSplit w:val="0"/>
          <w:tblHeader w:val="0"/>
        </w:trPr>
        <w:tc>
          <w:tcPr/>
          <w:p w:rsidR="00000000" w:rsidDel="00000000" w:rsidP="00000000" w:rsidRDefault="00000000" w:rsidRPr="00000000" w14:paraId="00000049">
            <w:pPr>
              <w:rPr>
                <w:rFonts w:ascii="Open Sans" w:cs="Open Sans" w:eastAsia="Open Sans" w:hAnsi="Open Sans"/>
                <w:b w:val="0"/>
              </w:rPr>
            </w:pPr>
            <w:r w:rsidDel="00000000" w:rsidR="00000000" w:rsidRPr="00000000">
              <w:rPr>
                <w:rFonts w:ascii="Open Sans" w:cs="Open Sans" w:eastAsia="Open Sans" w:hAnsi="Open Sans"/>
                <w:b w:val="0"/>
                <w:rtl w:val="0"/>
              </w:rPr>
              <w:t xml:space="preserve">Falta de acceso a servicios especializados</w:t>
            </w:r>
          </w:p>
        </w:tc>
        <w:tc>
          <w:tcPr/>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rtl w:val="0"/>
              </w:rPr>
              <w:t xml:space="preserve">29%</w:t>
            </w:r>
          </w:p>
        </w:tc>
      </w:tr>
      <w:tr>
        <w:trPr>
          <w:cantSplit w:val="0"/>
          <w:tblHeader w:val="0"/>
        </w:trPr>
        <w:tc>
          <w:tcPr/>
          <w:p w:rsidR="00000000" w:rsidDel="00000000" w:rsidP="00000000" w:rsidRDefault="00000000" w:rsidRPr="00000000" w14:paraId="0000004B">
            <w:pPr>
              <w:rPr>
                <w:rFonts w:ascii="Open Sans" w:cs="Open Sans" w:eastAsia="Open Sans" w:hAnsi="Open Sans"/>
                <w:b w:val="0"/>
              </w:rPr>
            </w:pPr>
            <w:r w:rsidDel="00000000" w:rsidR="00000000" w:rsidRPr="00000000">
              <w:rPr>
                <w:rFonts w:ascii="Open Sans" w:cs="Open Sans" w:eastAsia="Open Sans" w:hAnsi="Open Sans"/>
                <w:b w:val="0"/>
                <w:rtl w:val="0"/>
              </w:rPr>
              <w:t xml:space="preserve">Otros</w:t>
            </w:r>
          </w:p>
        </w:tc>
        <w:tc>
          <w:tcPr/>
          <w:p w:rsidR="00000000" w:rsidDel="00000000" w:rsidP="00000000" w:rsidRDefault="00000000" w:rsidRPr="00000000" w14:paraId="0000004C">
            <w:pPr>
              <w:rPr>
                <w:rFonts w:ascii="Open Sans" w:cs="Open Sans" w:eastAsia="Open Sans" w:hAnsi="Open Sans"/>
              </w:rPr>
            </w:pPr>
            <w:r w:rsidDel="00000000" w:rsidR="00000000" w:rsidRPr="00000000">
              <w:rPr>
                <w:rFonts w:ascii="Open Sans" w:cs="Open Sans" w:eastAsia="Open Sans" w:hAnsi="Open Sans"/>
                <w:rtl w:val="0"/>
              </w:rPr>
              <w:t xml:space="preserve">24%</w:t>
            </w:r>
          </w:p>
        </w:tc>
      </w:tr>
    </w:tbl>
    <w:p w:rsidR="00000000" w:rsidDel="00000000" w:rsidP="00000000" w:rsidRDefault="00000000" w:rsidRPr="00000000" w14:paraId="0000004D">
      <w:pPr>
        <w:rPr>
          <w:rFonts w:ascii="Open Sans" w:cs="Open Sans" w:eastAsia="Open Sans" w:hAnsi="Open Sans"/>
        </w:rPr>
      </w:pPr>
      <w:r w:rsidDel="00000000" w:rsidR="00000000" w:rsidRPr="00000000">
        <w:rPr>
          <w:rtl w:val="0"/>
        </w:rPr>
      </w:r>
    </w:p>
    <w:p w:rsidR="00000000" w:rsidDel="00000000" w:rsidP="00000000" w:rsidRDefault="00000000" w:rsidRPr="00000000" w14:paraId="0000004E">
      <w:pPr>
        <w:rPr>
          <w:rFonts w:ascii="Open Sans" w:cs="Open Sans" w:eastAsia="Open Sans" w:hAnsi="Open Sans"/>
        </w:rPr>
      </w:pPr>
      <w:r w:rsidDel="00000000" w:rsidR="00000000" w:rsidRPr="00000000">
        <w:rPr>
          <w:rFonts w:ascii="Open Sans" w:cs="Open Sans" w:eastAsia="Open Sans" w:hAnsi="Open Sans"/>
          <w:rtl w:val="0"/>
        </w:rPr>
        <w:t xml:space="preserve">Cuando se les preguntó qué tipo de orientación sería más útil para mejorar las actividades de prevención del suicidio y las autolesiones, la mayoría de los encuestados afirmaron que los materiales de formación serían lo más beneficioso (86%). El desarrollo de herramientas para la evaluación de riesgos, la planificación de la seguridad, las derivaciones y otras actividades de prevención del suicidio y las autolesiones también se señaló como de gran valor (79%). Los materiales de concienciación de la comunidad y la orientación sobre los planes locales y nacionales de prevención del suicidio también se señalaron como de gran importancia. Aunque no era una de las opciones de elección múltiple sugeridas, uno de los encuestados especificó que una Formación de Formadores sería de gran valor en esta área.  </w:t>
      </w:r>
    </w:p>
    <w:p w:rsidR="00000000" w:rsidDel="00000000" w:rsidP="00000000" w:rsidRDefault="00000000" w:rsidRPr="00000000" w14:paraId="0000004F">
      <w:pPr>
        <w:rPr>
          <w:rFonts w:ascii="Open Sans" w:cs="Open Sans" w:eastAsia="Open Sans" w:hAnsi="Open Sans"/>
        </w:rPr>
      </w:pPr>
      <w:r w:rsidDel="00000000" w:rsidR="00000000" w:rsidRPr="00000000">
        <w:rPr>
          <w:rFonts w:ascii="Open Sans" w:cs="Open Sans" w:eastAsia="Open Sans" w:hAnsi="Open Sans"/>
          <w:rtl w:val="0"/>
        </w:rPr>
        <w:t xml:space="preserve">Dada la naturaleza desafiante del trabajo, se pidió a los encuestados que indicaran qué apoyos existían para el personal/voluntarios que realizaban actividades de prevención del suicidio y las autolesiones. La supervisión de apoyo fue indicada como la principal fuente de apoyo, así como la formación y el desarrollo profesional (53% respectivamente). El acceso al apoyo del personal también fue destacado, con un 40%. Cuatro encuestados indicaron que no tenían ningún mecanismo de apoyo para el personal que realiza actividades de prevención del suicidio y las autolesiones. </w:t>
      </w:r>
    </w:p>
    <w:p w:rsidR="00000000" w:rsidDel="00000000" w:rsidP="00000000" w:rsidRDefault="00000000" w:rsidRPr="00000000" w14:paraId="00000050">
      <w:pPr>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rPr>
          <w:rFonts w:ascii="Montserrat" w:cs="Montserrat" w:eastAsia="Montserrat" w:hAnsi="Montserrat"/>
          <w:b w:val="1"/>
          <w:color w:val="000000"/>
          <w:sz w:val="26"/>
          <w:szCs w:val="26"/>
        </w:rPr>
      </w:pPr>
      <w:r w:rsidDel="00000000" w:rsidR="00000000" w:rsidRPr="00000000">
        <w:rPr>
          <w:rFonts w:ascii="Montserrat" w:cs="Montserrat" w:eastAsia="Montserrat" w:hAnsi="Montserrat"/>
          <w:b w:val="1"/>
          <w:sz w:val="26"/>
          <w:szCs w:val="26"/>
          <w:rtl w:val="0"/>
        </w:rPr>
        <w:t xml:space="preserve">Recomendaciones</w:t>
      </w:r>
      <w:r w:rsidDel="00000000" w:rsidR="00000000" w:rsidRPr="00000000">
        <w:rPr>
          <w:rtl w:val="0"/>
        </w:rPr>
      </w:r>
    </w:p>
    <w:p w:rsidR="00000000" w:rsidDel="00000000" w:rsidP="00000000" w:rsidRDefault="00000000" w:rsidRPr="00000000" w14:paraId="00000052">
      <w:pPr>
        <w:rPr>
          <w:rFonts w:ascii="Open Sans" w:cs="Open Sans" w:eastAsia="Open Sans" w:hAnsi="Open Sans"/>
        </w:rPr>
      </w:pPr>
      <w:r w:rsidDel="00000000" w:rsidR="00000000" w:rsidRPr="00000000">
        <w:rPr>
          <w:rFonts w:ascii="Open Sans" w:cs="Open Sans" w:eastAsia="Open Sans" w:hAnsi="Open Sans"/>
          <w:rtl w:val="0"/>
        </w:rPr>
        <w:t xml:space="preserve">De las Sociedades Nacionales que participaron en la encuesta, en algunos casos aparecen prácticas prometedoras para la prevención del suicidio y de las autolesiones. Lo más notable es la inclusión de la supervisión de apoyo y el desarrollo profesional continuo para el personal y los voluntarios que participan en tales actividades. La falta de participación en el ejercicio de mapeo es en sí misma preocupante, y se desconoce si la falta de participación se debió a la falta de conocimiento de la encuesta y a la limitada posibilidad de participar, o a la falta de prioridad de dichas actividades. Se necesita urgentemente una mayor exploración de las actividades de prevención del suicidio y las autolesiones dentro de la Cruz Roja y la Media Luna Roja para comprender mejor las actividades actuales y las lagunas en el tratamiento de este tema crítico. A partir de los datos recogidos, se pueden ofrecer las siguientes recomendaciones:</w:t>
      </w:r>
    </w:p>
    <w:p w:rsidR="00000000" w:rsidDel="00000000" w:rsidP="00000000" w:rsidRDefault="00000000" w:rsidRPr="00000000" w14:paraId="0000005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Realizar una encuesta de mapeo que se dirija a cada Sociedad Nacional en el mejor de los casos, o como mínimo, tener una respuesta regional</w:t>
      </w:r>
      <w:r w:rsidDel="00000000" w:rsidR="00000000" w:rsidRPr="00000000">
        <w:rPr>
          <w:rtl w:val="0"/>
        </w:rPr>
      </w:r>
    </w:p>
    <w:p w:rsidR="00000000" w:rsidDel="00000000" w:rsidP="00000000" w:rsidRDefault="00000000" w:rsidRPr="00000000" w14:paraId="0000005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Incluir entrevistas en profundidad con informantes clave y debates en grupos de discusión cuando sea posible</w:t>
      </w:r>
      <w:r w:rsidDel="00000000" w:rsidR="00000000" w:rsidRPr="00000000">
        <w:rPr>
          <w:rtl w:val="0"/>
        </w:rPr>
      </w:r>
    </w:p>
    <w:p w:rsidR="00000000" w:rsidDel="00000000" w:rsidP="00000000" w:rsidRDefault="00000000" w:rsidRPr="00000000" w14:paraId="0000005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Elaborar orientaciones para la prevención del suicidio y las autolesiones que se basen en el documento existente Suicidio y prevención de daños durante COVID-19.</w:t>
      </w:r>
      <w:r w:rsidDel="00000000" w:rsidR="00000000" w:rsidRPr="00000000">
        <w:rPr>
          <w:rtl w:val="0"/>
        </w:rPr>
      </w:r>
    </w:p>
    <w:p w:rsidR="00000000" w:rsidDel="00000000" w:rsidP="00000000" w:rsidRDefault="00000000" w:rsidRPr="00000000" w14:paraId="0000005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Desarrollar materiales de formación complementarios para apoyar las orientaciones sobre la prevención del suicidio y los daños </w:t>
      </w:r>
      <w:r w:rsidDel="00000000" w:rsidR="00000000" w:rsidRPr="00000000">
        <w:rPr>
          <w:rtl w:val="0"/>
        </w:rPr>
      </w:r>
    </w:p>
    <w:p w:rsidR="00000000" w:rsidDel="00000000" w:rsidP="00000000" w:rsidRDefault="00000000" w:rsidRPr="00000000" w14:paraId="0000005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Desarrollar orientaciones sobre cómo trabajar con el estigma y el tabú contra el suicidio y las autolesiones </w:t>
      </w:r>
      <w:r w:rsidDel="00000000" w:rsidR="00000000" w:rsidRPr="00000000">
        <w:rPr>
          <w:rtl w:val="0"/>
        </w:rPr>
      </w:r>
    </w:p>
    <w:p w:rsidR="00000000" w:rsidDel="00000000" w:rsidP="00000000" w:rsidRDefault="00000000" w:rsidRPr="00000000" w14:paraId="0000005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Aumentar la promoción de la importancia de la inclusión de las actividades de prevención del suicidio y de las autolesiones como parte de las actividades básicas del Movimiento.</w:t>
      </w:r>
      <w:r w:rsidDel="00000000" w:rsidR="00000000" w:rsidRPr="00000000">
        <w:rPr>
          <w:rtl w:val="0"/>
        </w:rPr>
      </w:r>
    </w:p>
    <w:p w:rsidR="00000000" w:rsidDel="00000000" w:rsidP="00000000" w:rsidRDefault="00000000" w:rsidRPr="00000000" w14:paraId="0000005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0" w:line="259" w:lineRule="auto"/>
        <w:ind w:left="720" w:right="0" w:hanging="360"/>
        <w:jc w:val="left"/>
        <w:rPr/>
      </w:pPr>
      <w:r w:rsidDel="00000000" w:rsidR="00000000" w:rsidRPr="00000000">
        <w:rPr>
          <w:rFonts w:ascii="Open Sans" w:cs="Open Sans" w:eastAsia="Open Sans" w:hAnsi="Open Sans"/>
          <w:rtl w:val="0"/>
        </w:rPr>
        <w:t xml:space="preserve">Aumentar la inversión en los mecanismos de apoyo para garantizar la implantación coherente del apoyo al personal y a los voluntarios, como la supervisión de apoyo. </w:t>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5A">
      <w:pPr>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rPr>
          <w:rFonts w:ascii="Open Sans" w:cs="Open Sans" w:eastAsia="Open Sans" w:hAnsi="Open Sans"/>
        </w:rPr>
      </w:pPr>
      <w:r w:rsidDel="00000000" w:rsidR="00000000" w:rsidRPr="00000000">
        <w:rPr>
          <w:rtl w:val="0"/>
        </w:rPr>
      </w:r>
    </w:p>
    <w:sectPr>
      <w:headerReference r:id="rId12" w:type="default"/>
      <w:headerReference r:id="rId13" w:type="first"/>
      <w:footerReference r:id="rId14" w:type="default"/>
      <w:pgSz w:h="16838" w:w="11906" w:orient="portrait"/>
      <w:pgMar w:bottom="1701" w:top="1701" w:left="1134" w:right="1134" w:header="709" w:footer="709"/>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aps americas" w:id="0" w:date="2022-07-19T13:08:31Z">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hace falta añadir el enlace de la guia en ES</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066"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Courier New"/>
  <w:font w:name="Constanti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font w:name="Open Sans">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Constantia" w:cs="Constantia" w:eastAsia="Constantia" w:hAnsi="Constanti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Actividades de prevención del suicidio y las autolesiones en la Cruz Roja y la Media Luna Roja</w:t>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Constantia" w:cs="Constantia" w:eastAsia="Constantia" w:hAnsi="Constantia"/>
        <w:b w:val="0"/>
        <w:i w:val="0"/>
        <w:smallCaps w:val="0"/>
        <w:strike w:val="0"/>
        <w:color w:val="000000"/>
        <w:sz w:val="20"/>
        <w:szCs w:val="20"/>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Tenga en cuenta que la encuesta permitía seleccionar varias respuestas, por lo que los porcentajes presentados no suman el 100%.</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Constantia" w:cs="Constantia" w:eastAsia="Constantia" w:hAnsi="Constanti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Constantia" w:cs="Constantia" w:eastAsia="Constantia" w:hAnsi="Constanti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Constantia" w:cs="Constantia" w:eastAsia="Constantia" w:hAnsi="Constantia"/>
        <w:b w:val="0"/>
        <w:i w:val="0"/>
        <w:smallCaps w:val="0"/>
        <w:strike w:val="0"/>
        <w:color w:val="000000"/>
        <w:sz w:val="20"/>
        <w:szCs w:val="20"/>
        <w:u w:val="none"/>
        <w:shd w:fill="auto" w:val="clear"/>
        <w:vertAlign w:val="baseline"/>
      </w:rPr>
    </w:pPr>
    <w:r w:rsidDel="00000000" w:rsidR="00000000" w:rsidRPr="00000000">
      <w:rPr>
        <w:rFonts w:ascii="Constantia" w:cs="Constantia" w:eastAsia="Constantia" w:hAnsi="Constantia"/>
        <w:b w:val="0"/>
        <w:i w:val="0"/>
        <w:smallCaps w:val="0"/>
        <w:strike w:val="0"/>
        <w:color w:val="000000"/>
        <w:sz w:val="20"/>
        <w:szCs w:val="20"/>
        <w:u w:val="none"/>
        <w:shd w:fill="auto" w:val="clear"/>
        <w:vertAlign w:val="baseline"/>
      </w:rPr>
      <w:drawing>
        <wp:inline distB="0" distT="0" distL="0" distR="0">
          <wp:extent cx="1537122" cy="747351"/>
          <wp:effectExtent b="0" l="0" r="0" t="0"/>
          <wp:docPr descr="A picture containing drawing&#10;&#10;Description automatically generated" id="8" name="image1.jpg"/>
          <a:graphic>
            <a:graphicData uri="http://schemas.openxmlformats.org/drawingml/2006/picture">
              <pic:pic>
                <pic:nvPicPr>
                  <pic:cNvPr descr="A picture containing drawing&#10;&#10;Description automatically generated" id="0" name="image1.jpg"/>
                  <pic:cNvPicPr preferRelativeResize="0"/>
                </pic:nvPicPr>
                <pic:blipFill>
                  <a:blip r:embed="rId1"/>
                  <a:srcRect b="0" l="0" r="0" t="0"/>
                  <a:stretch>
                    <a:fillRect/>
                  </a:stretch>
                </pic:blipFill>
                <pic:spPr>
                  <a:xfrm>
                    <a:off x="0" y="0"/>
                    <a:ext cx="1537122" cy="7473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color w:val="c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onstantia" w:cs="Constantia" w:eastAsia="Constantia" w:hAnsi="Constantia"/>
        <w:lang w:val="en-US"/>
      </w:rPr>
    </w:rPrDefault>
    <w:pPrDefault>
      <w:pPr>
        <w:spacing w:after="12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Helvetica Neue" w:cs="Helvetica Neue" w:eastAsia="Helvetica Neue" w:hAnsi="Helvetica Neue"/>
      <w:color w:val="c00000"/>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pPr>
    <w:rPr>
      <w:rFonts w:ascii="Helvetica Neue" w:cs="Helvetica Neue" w:eastAsia="Helvetica Neue" w:hAnsi="Helvetica Neue"/>
      <w:smallCaps w:val="1"/>
      <w:color w:val="0d0d0d"/>
      <w:sz w:val="56"/>
      <w:szCs w:val="56"/>
    </w:rPr>
  </w:style>
  <w:style w:type="paragraph" w:styleId="Normal" w:default="1">
    <w:name w:val="Normal"/>
    <w:aliases w:val="Body text,Brød"/>
    <w:qFormat w:val="1"/>
    <w:rsid w:val="00D50690"/>
    <w:pPr>
      <w:spacing w:after="120"/>
    </w:pPr>
    <w:rPr>
      <w:rFonts w:ascii="Constantia" w:hAnsi="Constantia"/>
      <w:sz w:val="20"/>
      <w:lang w:eastAsia="da-DK" w:val="en-US"/>
    </w:rPr>
  </w:style>
  <w:style w:type="paragraph" w:styleId="Heading1">
    <w:name w:val="heading 1"/>
    <w:basedOn w:val="Normal"/>
    <w:next w:val="Normal"/>
    <w:link w:val="Heading1Char"/>
    <w:uiPriority w:val="9"/>
    <w:qFormat w:val="1"/>
    <w:rsid w:val="00D50690"/>
    <w:pPr>
      <w:keepNext w:val="1"/>
      <w:keepLines w:val="1"/>
      <w:spacing w:after="0" w:before="240"/>
      <w:outlineLvl w:val="0"/>
    </w:pPr>
    <w:rPr>
      <w:rFonts w:ascii="HelveticaNeueLT Std" w:hAnsi="HelveticaNeueLT Std" w:cstheme="majorBidi" w:eastAsiaTheme="majorEastAsia"/>
      <w:color w:val="c00000"/>
      <w:sz w:val="32"/>
      <w:szCs w:val="3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D50690"/>
    <w:rPr>
      <w:rFonts w:ascii="HelveticaNeueLT Std" w:hAnsi="HelveticaNeueLT Std" w:cstheme="majorBidi" w:eastAsiaTheme="majorEastAsia"/>
      <w:color w:val="c00000"/>
      <w:sz w:val="32"/>
      <w:szCs w:val="32"/>
      <w:lang w:eastAsia="da-DK" w:val="en-US"/>
    </w:rPr>
  </w:style>
  <w:style w:type="paragraph" w:styleId="Title">
    <w:name w:val="Title"/>
    <w:basedOn w:val="Normal"/>
    <w:next w:val="Normal"/>
    <w:link w:val="TitleChar"/>
    <w:uiPriority w:val="10"/>
    <w:qFormat w:val="1"/>
    <w:rsid w:val="00D50690"/>
    <w:pPr>
      <w:spacing w:after="0" w:line="240" w:lineRule="auto"/>
      <w:contextualSpacing w:val="1"/>
    </w:pPr>
    <w:rPr>
      <w:rFonts w:ascii="HelveticaNeueLT Std" w:hAnsi="HelveticaNeueLT Std" w:cstheme="majorBidi" w:eastAsiaTheme="majorEastAsia"/>
      <w:caps w:val="1"/>
      <w:color w:val="0d0d0d" w:themeColor="text1" w:themeTint="0000F2"/>
      <w:spacing w:val="-10"/>
      <w:kern w:val="28"/>
      <w:sz w:val="56"/>
      <w:szCs w:val="56"/>
    </w:rPr>
  </w:style>
  <w:style w:type="character" w:styleId="TitleChar" w:customStyle="1">
    <w:name w:val="Title Char"/>
    <w:basedOn w:val="DefaultParagraphFont"/>
    <w:link w:val="Title"/>
    <w:uiPriority w:val="10"/>
    <w:rsid w:val="00D50690"/>
    <w:rPr>
      <w:rFonts w:ascii="HelveticaNeueLT Std" w:hAnsi="HelveticaNeueLT Std" w:cstheme="majorBidi" w:eastAsiaTheme="majorEastAsia"/>
      <w:caps w:val="1"/>
      <w:color w:val="0d0d0d" w:themeColor="text1" w:themeTint="0000F2"/>
      <w:spacing w:val="-10"/>
      <w:kern w:val="28"/>
      <w:sz w:val="56"/>
      <w:szCs w:val="56"/>
      <w:lang w:eastAsia="da-DK" w:val="en-US"/>
    </w:rPr>
  </w:style>
  <w:style w:type="paragraph" w:styleId="Head3" w:customStyle="1">
    <w:name w:val="Head 3"/>
    <w:basedOn w:val="Normal"/>
    <w:link w:val="Head3Char"/>
    <w:qFormat w:val="1"/>
    <w:rsid w:val="00D50690"/>
    <w:rPr>
      <w:b w:val="1"/>
      <w:sz w:val="24"/>
    </w:rPr>
  </w:style>
  <w:style w:type="character" w:styleId="Head3Char" w:customStyle="1">
    <w:name w:val="Head 3 Char"/>
    <w:basedOn w:val="DefaultParagraphFont"/>
    <w:link w:val="Head3"/>
    <w:rsid w:val="00D50690"/>
    <w:rPr>
      <w:rFonts w:ascii="Constantia" w:hAnsi="Constantia"/>
      <w:b w:val="1"/>
      <w:sz w:val="24"/>
      <w:lang w:eastAsia="da-DK" w:val="en-US"/>
    </w:rPr>
  </w:style>
  <w:style w:type="paragraph" w:styleId="BulletRed" w:customStyle="1">
    <w:name w:val="Bullet Red"/>
    <w:basedOn w:val="ListParagraph"/>
    <w:link w:val="BulletRedChar"/>
    <w:qFormat w:val="1"/>
    <w:rsid w:val="00D50690"/>
    <w:pPr>
      <w:numPr>
        <w:numId w:val="2"/>
      </w:numPr>
    </w:pPr>
  </w:style>
  <w:style w:type="paragraph" w:styleId="Bulletnormal" w:customStyle="1">
    <w:name w:val="Bullet normal"/>
    <w:basedOn w:val="Normal"/>
    <w:link w:val="BulletnormalChar"/>
    <w:qFormat w:val="1"/>
    <w:rsid w:val="00D50690"/>
    <w:pPr>
      <w:numPr>
        <w:numId w:val="1"/>
      </w:numPr>
    </w:pPr>
  </w:style>
  <w:style w:type="character" w:styleId="BulletRedChar" w:customStyle="1">
    <w:name w:val="Bullet Red Char"/>
    <w:basedOn w:val="DefaultParagraphFont"/>
    <w:link w:val="BulletRed"/>
    <w:rsid w:val="00D50690"/>
    <w:rPr>
      <w:rFonts w:ascii="Constantia" w:hAnsi="Constantia"/>
      <w:sz w:val="20"/>
      <w:lang w:eastAsia="da-DK" w:val="en-US"/>
    </w:rPr>
  </w:style>
  <w:style w:type="character" w:styleId="Strong">
    <w:name w:val="Strong"/>
    <w:basedOn w:val="DefaultParagraphFont"/>
    <w:uiPriority w:val="22"/>
    <w:qFormat w:val="1"/>
    <w:rsid w:val="00D50690"/>
    <w:rPr>
      <w:rFonts w:ascii="Constantia" w:hAnsi="Constantia"/>
      <w:b w:val="1"/>
      <w:bCs w:val="1"/>
      <w:sz w:val="22"/>
    </w:rPr>
  </w:style>
  <w:style w:type="character" w:styleId="BulletnormalChar" w:customStyle="1">
    <w:name w:val="Bullet normal Char"/>
    <w:basedOn w:val="DefaultParagraphFont"/>
    <w:link w:val="Bulletnormal"/>
    <w:rsid w:val="00D50690"/>
    <w:rPr>
      <w:rFonts w:ascii="Constantia" w:hAnsi="Constantia"/>
      <w:sz w:val="20"/>
      <w:lang w:eastAsia="da-DK" w:val="en-US"/>
    </w:rPr>
  </w:style>
  <w:style w:type="character" w:styleId="Emphasis">
    <w:name w:val="Emphasis"/>
    <w:basedOn w:val="DefaultParagraphFont"/>
    <w:uiPriority w:val="20"/>
    <w:qFormat w:val="1"/>
    <w:rsid w:val="00D50690"/>
    <w:rPr>
      <w:rFonts w:ascii="Constantia" w:hAnsi="Constantia"/>
      <w:i w:val="1"/>
      <w:iCs w:val="1"/>
      <w:sz w:val="22"/>
    </w:rPr>
  </w:style>
  <w:style w:type="paragraph" w:styleId="Header">
    <w:name w:val="header"/>
    <w:basedOn w:val="Normal"/>
    <w:link w:val="HeaderChar"/>
    <w:uiPriority w:val="99"/>
    <w:unhideWhenUsed w:val="1"/>
    <w:rsid w:val="00D50690"/>
    <w:pPr>
      <w:tabs>
        <w:tab w:val="center" w:pos="4819"/>
        <w:tab w:val="right" w:pos="9638"/>
      </w:tabs>
      <w:spacing w:after="0" w:line="240" w:lineRule="auto"/>
    </w:pPr>
  </w:style>
  <w:style w:type="character" w:styleId="HeaderChar" w:customStyle="1">
    <w:name w:val="Header Char"/>
    <w:basedOn w:val="DefaultParagraphFont"/>
    <w:link w:val="Header"/>
    <w:uiPriority w:val="99"/>
    <w:rsid w:val="00D50690"/>
    <w:rPr>
      <w:rFonts w:ascii="Constantia" w:hAnsi="Constantia"/>
      <w:sz w:val="20"/>
      <w:lang w:eastAsia="da-DK" w:val="en-US"/>
    </w:rPr>
  </w:style>
  <w:style w:type="paragraph" w:styleId="Footer">
    <w:name w:val="footer"/>
    <w:basedOn w:val="Normal"/>
    <w:link w:val="FooterChar"/>
    <w:uiPriority w:val="99"/>
    <w:unhideWhenUsed w:val="1"/>
    <w:rsid w:val="00D50690"/>
    <w:pPr>
      <w:tabs>
        <w:tab w:val="center" w:pos="4819"/>
        <w:tab w:val="right" w:pos="9638"/>
      </w:tabs>
      <w:spacing w:after="0" w:line="240" w:lineRule="auto"/>
    </w:pPr>
  </w:style>
  <w:style w:type="character" w:styleId="FooterChar" w:customStyle="1">
    <w:name w:val="Footer Char"/>
    <w:basedOn w:val="DefaultParagraphFont"/>
    <w:link w:val="Footer"/>
    <w:uiPriority w:val="99"/>
    <w:rsid w:val="00D50690"/>
    <w:rPr>
      <w:rFonts w:ascii="Constantia" w:hAnsi="Constantia"/>
      <w:sz w:val="20"/>
      <w:lang w:eastAsia="da-DK" w:val="en-US"/>
    </w:rPr>
  </w:style>
  <w:style w:type="character" w:styleId="FootnoteReference">
    <w:name w:val="footnote reference"/>
    <w:basedOn w:val="DefaultParagraphFont"/>
    <w:uiPriority w:val="99"/>
    <w:semiHidden w:val="1"/>
    <w:unhideWhenUsed w:val="1"/>
    <w:rsid w:val="00D50690"/>
    <w:rPr>
      <w:vertAlign w:val="superscript"/>
    </w:rPr>
  </w:style>
  <w:style w:type="paragraph" w:styleId="Footnote" w:customStyle="1">
    <w:name w:val="Footnote"/>
    <w:basedOn w:val="Normal"/>
    <w:link w:val="FootnoteChar"/>
    <w:qFormat w:val="1"/>
    <w:rsid w:val="00D50690"/>
    <w:pPr>
      <w:ind w:left="113" w:hanging="113"/>
    </w:pPr>
    <w:rPr>
      <w:sz w:val="18"/>
    </w:rPr>
  </w:style>
  <w:style w:type="character" w:styleId="FootnoteChar" w:customStyle="1">
    <w:name w:val="Footnote Char"/>
    <w:basedOn w:val="DefaultParagraphFont"/>
    <w:link w:val="Footnote"/>
    <w:rsid w:val="00D50690"/>
    <w:rPr>
      <w:rFonts w:ascii="Constantia" w:hAnsi="Constantia"/>
      <w:lang w:eastAsia="da-DK" w:val="en-US"/>
    </w:rPr>
  </w:style>
  <w:style w:type="paragraph" w:styleId="ListParagraph">
    <w:name w:val="List Paragraph"/>
    <w:basedOn w:val="Normal"/>
    <w:uiPriority w:val="34"/>
    <w:qFormat w:val="1"/>
    <w:rsid w:val="00D50690"/>
    <w:pPr>
      <w:ind w:left="720"/>
      <w:contextualSpacing w:val="1"/>
    </w:pPr>
  </w:style>
  <w:style w:type="character" w:styleId="Hyperlink">
    <w:name w:val="Hyperlink"/>
    <w:basedOn w:val="DefaultParagraphFont"/>
    <w:uiPriority w:val="99"/>
    <w:unhideWhenUsed w:val="1"/>
    <w:rsid w:val="00D50690"/>
    <w:rPr>
      <w:color w:val="0563c1" w:themeColor="hyperlink"/>
      <w:u w:val="single"/>
    </w:rPr>
  </w:style>
  <w:style w:type="character" w:styleId="UnresolvedMention">
    <w:name w:val="Unresolved Mention"/>
    <w:basedOn w:val="DefaultParagraphFont"/>
    <w:uiPriority w:val="99"/>
    <w:semiHidden w:val="1"/>
    <w:unhideWhenUsed w:val="1"/>
    <w:rsid w:val="00D50690"/>
    <w:rPr>
      <w:color w:val="605e5c"/>
      <w:shd w:color="auto" w:fill="e1dfdd" w:val="clear"/>
    </w:rPr>
  </w:style>
  <w:style w:type="table" w:styleId="TableGrid">
    <w:name w:val="Table Grid"/>
    <w:basedOn w:val="TableNormal"/>
    <w:uiPriority w:val="39"/>
    <w:rsid w:val="005528E7"/>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PlainTable4">
    <w:name w:val="Plain Table 4"/>
    <w:basedOn w:val="TableNormal"/>
    <w:uiPriority w:val="44"/>
    <w:rsid w:val="005528E7"/>
    <w:pPr>
      <w:spacing w:after="0" w:line="240" w:lineRule="auto"/>
    </w:pPr>
    <w:tblPr>
      <w:tblStyleRowBandSize w:val="1"/>
      <w:tblStyleColBandSize w:val="1"/>
    </w:tblPr>
    <w:tblStylePr w:type="firstRow">
      <w:rPr>
        <w:b w:val="1"/>
        <w:bCs w:val="1"/>
      </w:rPr>
    </w:tblStylePr>
    <w:tblStylePr w:type="lastRow">
      <w:rPr>
        <w:b w:val="1"/>
        <w:bCs w:val="1"/>
      </w:r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CommentReference">
    <w:name w:val="annotation reference"/>
    <w:basedOn w:val="DefaultParagraphFont"/>
    <w:uiPriority w:val="99"/>
    <w:semiHidden w:val="1"/>
    <w:unhideWhenUsed w:val="1"/>
    <w:rsid w:val="00EA681A"/>
    <w:rPr>
      <w:sz w:val="16"/>
      <w:szCs w:val="16"/>
    </w:rPr>
  </w:style>
  <w:style w:type="paragraph" w:styleId="CommentText">
    <w:name w:val="annotation text"/>
    <w:basedOn w:val="Normal"/>
    <w:link w:val="CommentTextChar"/>
    <w:uiPriority w:val="99"/>
    <w:semiHidden w:val="1"/>
    <w:unhideWhenUsed w:val="1"/>
    <w:rsid w:val="00EA681A"/>
    <w:pPr>
      <w:spacing w:line="240" w:lineRule="auto"/>
    </w:pPr>
    <w:rPr>
      <w:szCs w:val="20"/>
    </w:rPr>
  </w:style>
  <w:style w:type="character" w:styleId="CommentTextChar" w:customStyle="1">
    <w:name w:val="Comment Text Char"/>
    <w:basedOn w:val="DefaultParagraphFont"/>
    <w:link w:val="CommentText"/>
    <w:uiPriority w:val="99"/>
    <w:semiHidden w:val="1"/>
    <w:rsid w:val="00EA681A"/>
    <w:rPr>
      <w:rFonts w:ascii="Constantia" w:hAnsi="Constantia"/>
      <w:sz w:val="20"/>
      <w:szCs w:val="20"/>
      <w:lang w:eastAsia="da-DK" w:val="en-US"/>
    </w:rPr>
  </w:style>
  <w:style w:type="paragraph" w:styleId="CommentSubject">
    <w:name w:val="annotation subject"/>
    <w:basedOn w:val="CommentText"/>
    <w:next w:val="CommentText"/>
    <w:link w:val="CommentSubjectChar"/>
    <w:uiPriority w:val="99"/>
    <w:semiHidden w:val="1"/>
    <w:unhideWhenUsed w:val="1"/>
    <w:rsid w:val="00EA681A"/>
    <w:rPr>
      <w:b w:val="1"/>
      <w:bCs w:val="1"/>
    </w:rPr>
  </w:style>
  <w:style w:type="character" w:styleId="CommentSubjectChar" w:customStyle="1">
    <w:name w:val="Comment Subject Char"/>
    <w:basedOn w:val="CommentTextChar"/>
    <w:link w:val="CommentSubject"/>
    <w:uiPriority w:val="99"/>
    <w:semiHidden w:val="1"/>
    <w:rsid w:val="00EA681A"/>
    <w:rPr>
      <w:rFonts w:ascii="Constantia" w:hAnsi="Constantia"/>
      <w:b w:val="1"/>
      <w:bCs w:val="1"/>
      <w:sz w:val="20"/>
      <w:szCs w:val="20"/>
      <w:lang w:eastAsia="da-DK" w:val="en-US"/>
    </w:rPr>
  </w:style>
  <w:style w:type="paragraph" w:styleId="BalloonText">
    <w:name w:val="Balloon Text"/>
    <w:basedOn w:val="Normal"/>
    <w:link w:val="BalloonTextChar"/>
    <w:uiPriority w:val="99"/>
    <w:semiHidden w:val="1"/>
    <w:unhideWhenUsed w:val="1"/>
    <w:rsid w:val="00EA681A"/>
    <w:pPr>
      <w:spacing w:after="0" w:line="240" w:lineRule="auto"/>
    </w:pPr>
    <w:rPr>
      <w:rFonts w:ascii="Segoe UI" w:cs="Segoe UI" w:hAnsi="Segoe UI"/>
      <w:sz w:val="18"/>
    </w:rPr>
  </w:style>
  <w:style w:type="character" w:styleId="BalloonTextChar" w:customStyle="1">
    <w:name w:val="Balloon Text Char"/>
    <w:basedOn w:val="DefaultParagraphFont"/>
    <w:link w:val="BalloonText"/>
    <w:uiPriority w:val="99"/>
    <w:semiHidden w:val="1"/>
    <w:rsid w:val="00EA681A"/>
    <w:rPr>
      <w:rFonts w:ascii="Segoe UI" w:cs="Segoe UI" w:hAnsi="Segoe UI"/>
      <w:lang w:eastAsia="da-DK" w:val="en-US"/>
    </w:rPr>
  </w:style>
  <w:style w:type="character" w:styleId="FootnoteTextChar" w:customStyle="1">
    <w:name w:val="Footnote Text Char"/>
    <w:basedOn w:val="DefaultParagraphFont"/>
    <w:link w:val="FootnoteText"/>
    <w:uiPriority w:val="99"/>
    <w:semiHidden w:val="1"/>
    <w:rsid w:val="00F67B6D"/>
    <w:rPr>
      <w:rFonts w:ascii="Constantia" w:hAnsi="Constantia"/>
      <w:sz w:val="20"/>
      <w:szCs w:val="20"/>
      <w:lang w:eastAsia="da-DK" w:val="en-US"/>
    </w:rPr>
  </w:style>
  <w:style w:type="paragraph" w:styleId="FootnoteText">
    <w:name w:val="footnote text"/>
    <w:basedOn w:val="Normal"/>
    <w:link w:val="FootnoteTextChar"/>
    <w:uiPriority w:val="99"/>
    <w:semiHidden w:val="1"/>
    <w:unhideWhenUsed w:val="1"/>
    <w:pPr>
      <w:spacing w:after="0" w:line="240" w:lineRule="auto"/>
    </w:pPr>
    <w:rPr>
      <w:szCs w:val="20"/>
    </w:rPr>
  </w:style>
  <w:style w:type="character" w:styleId="FootnoteTextChar1" w:customStyle="1">
    <w:name w:val="Footnote Text Char1"/>
    <w:basedOn w:val="DefaultParagraphFont"/>
    <w:uiPriority w:val="99"/>
    <w:semiHidden w:val="1"/>
    <w:rsid w:val="00F67B6D"/>
    <w:rPr>
      <w:rFonts w:ascii="Constantia" w:hAnsi="Constantia"/>
      <w:sz w:val="20"/>
      <w:szCs w:val="20"/>
      <w:lang w:eastAsia="da-DK"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s>
</file>

<file path=word/_rels/document.xml.rels><?xml version="1.0" encoding="UTF-8" standalone="yes"?>
<Relationships xmlns="http://schemas.openxmlformats.org/package/2006/relationships"><Relationship Id="rId13" Type="http://schemas.openxmlformats.org/officeDocument/2006/relationships/header" Target="header1.xml"/><Relationship Id="rId8" Type="http://schemas.openxmlformats.org/officeDocument/2006/relationships/customXml" Target="../customXML/item1.xml"/><Relationship Id="rId3" Type="http://schemas.openxmlformats.org/officeDocument/2006/relationships/settings" Target="settings.xml"/><Relationship Id="rId12" Type="http://schemas.openxmlformats.org/officeDocument/2006/relationships/header" Target="header2.xml"/><Relationship Id="rId7" Type="http://schemas.openxmlformats.org/officeDocument/2006/relationships/styles" Target="styles.xml"/><Relationship Id="rId17" Type="http://schemas.openxmlformats.org/officeDocument/2006/relationships/customXml" Target="../customXML/item4.xml"/><Relationship Id="rId2" Type="http://schemas.openxmlformats.org/officeDocument/2006/relationships/comments" Target="comments.xml"/><Relationship Id="rId16" Type="http://schemas.openxmlformats.org/officeDocument/2006/relationships/customXml" Target="../customXML/item3.xml"/><Relationship Id="rId11" Type="http://schemas.openxmlformats.org/officeDocument/2006/relationships/hyperlink" Target="https://www.surveymonkey.com/stories/SM-YWRF7P72/" TargetMode="External"/><Relationship Id="rId1" Type="http://schemas.openxmlformats.org/officeDocument/2006/relationships/theme" Target="theme/theme1.xml"/><Relationship Id="rId6" Type="http://schemas.openxmlformats.org/officeDocument/2006/relationships/numbering" Target="numbering.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1.jpg"/><Relationship Id="rId4" Type="http://schemas.openxmlformats.org/officeDocument/2006/relationships/fontTable" Target="fontTable.xml"/><Relationship Id="rId9" Type="http://schemas.microsoft.com/office/2011/relationships/commentsExtended" Target="commentsExtended.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OpenSans-boldItalic.ttf"/><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HelveticaNeue-regular.ttf"/><Relationship Id="rId12" Type="http://schemas.openxmlformats.org/officeDocument/2006/relationships/font" Target="fonts/MontserratMedium-boldItalic.ttf"/><Relationship Id="rId1" Type="http://schemas.openxmlformats.org/officeDocument/2006/relationships/font" Target="fonts/Constantia-regular.ttf"/><Relationship Id="rId2" Type="http://schemas.openxmlformats.org/officeDocument/2006/relationships/font" Target="fonts/Constantia-bold.ttf"/><Relationship Id="rId3" Type="http://schemas.openxmlformats.org/officeDocument/2006/relationships/font" Target="fonts/Constantia-italic.ttf"/><Relationship Id="rId4" Type="http://schemas.openxmlformats.org/officeDocument/2006/relationships/font" Target="fonts/Constantia-boldItalic.ttf"/><Relationship Id="rId9" Type="http://schemas.openxmlformats.org/officeDocument/2006/relationships/font" Target="fonts/MontserratMedium-regular.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OpenSans-regular.ttf"/><Relationship Id="rId16" Type="http://schemas.openxmlformats.org/officeDocument/2006/relationships/font" Target="fonts/HelveticaNeue-boldItalic.ttf"/><Relationship Id="rId5" Type="http://schemas.openxmlformats.org/officeDocument/2006/relationships/font" Target="fonts/Montserrat-regular.ttf"/><Relationship Id="rId19" Type="http://schemas.openxmlformats.org/officeDocument/2006/relationships/font" Target="fonts/OpenSans-italic.ttf"/><Relationship Id="rId6" Type="http://schemas.openxmlformats.org/officeDocument/2006/relationships/font" Target="fonts/Montserrat-bold.ttf"/><Relationship Id="rId18" Type="http://schemas.openxmlformats.org/officeDocument/2006/relationships/font" Target="fonts/OpenSans-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0SRDyJBTgSQDrFbEU2EtgVfzC/g==">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RK Document" ma:contentTypeID="0x010100BAF7254234723E48BEAA5279D19E83B800EBB4AA2DC59ED041BFD0D8CBDBF3954F" ma:contentTypeVersion="33" ma:contentTypeDescription="Create a new document." ma:contentTypeScope="" ma:versionID="2da5aa059379aa7e45f1ae85439771e2">
  <xsd:schema xmlns:xsd="http://www.w3.org/2001/XMLSchema" xmlns:xs="http://www.w3.org/2001/XMLSchema" xmlns:p="http://schemas.microsoft.com/office/2006/metadata/properties" xmlns:ns2="d04ac8df-6fd2-482f-b819-b97b1136af7f" xmlns:ns3="9a29e298-6711-4c2e-b998-25b6d616e0da" xmlns:ns4="abbeec68-b05e-4e2e-88e5-2ac3e13fe809" xmlns:ns5="25a70923-3bf2-47cf-8b1f-69f36b134e00" xmlns:ns6="14bfd2bb-3d4a-4549-9197-f3410a8da64b" xmlns:ns7="74131ee8-6c2d-4140-b0ca-c2efcac0b45d" targetNamespace="http://schemas.microsoft.com/office/2006/metadata/properties" ma:root="true" ma:fieldsID="901eab1688bd018caad6231468834362" ns2:_="" ns3:_="" ns4:_="" ns5:_="" ns6:_="" ns7:_="">
    <xsd:import namespace="d04ac8df-6fd2-482f-b819-b97b1136af7f"/>
    <xsd:import namespace="9a29e298-6711-4c2e-b998-25b6d616e0da"/>
    <xsd:import namespace="abbeec68-b05e-4e2e-88e5-2ac3e13fe809"/>
    <xsd:import namespace="25a70923-3bf2-47cf-8b1f-69f36b134e00"/>
    <xsd:import namespace="14bfd2bb-3d4a-4549-9197-f3410a8da64b"/>
    <xsd:import namespace="74131ee8-6c2d-4140-b0ca-c2efcac0b45d"/>
    <xsd:element name="properties">
      <xsd:complexType>
        <xsd:sequence>
          <xsd:element name="documentManagement">
            <xsd:complexType>
              <xsd:all>
                <xsd:element ref="ns2:rkActDate" minOccurs="0"/>
                <xsd:element ref="ns2:rkDeletionDate" minOccurs="0"/>
                <xsd:element ref="ns2:rkYellowNoteDoc" minOccurs="0"/>
                <xsd:element ref="ns2:rkDocumentAdvis" minOccurs="0"/>
                <xsd:element ref="ns2:rkArchivingPeriod" minOccurs="0"/>
                <xsd:element ref="ns4:wp_tag" minOccurs="0"/>
                <xsd:element ref="ns4:wpDocumentId" minOccurs="0"/>
                <xsd:element ref="ns5:wp_entitynamefield" minOccurs="0"/>
                <xsd:element ref="ns2:wpBusinessModule" minOccurs="0"/>
                <xsd:element ref="ns2:rkProjectNumber" minOccurs="0"/>
                <xsd:element ref="ns2:rkCaseID" minOccurs="0"/>
                <xsd:element ref="ns5:rkParentCase" minOccurs="0"/>
                <xsd:element ref="ns5:rkParentCase_x003a_Name" minOccurs="0"/>
                <xsd:element ref="ns6:wpItemlocation" minOccurs="0"/>
                <xsd:element ref="ns7:rkRelatedDoc" minOccurs="0"/>
                <xsd:element ref="ns2:rkConfidential" minOccurs="0"/>
                <xsd:element ref="ns5:a132bdfb546f423c8c75fff6759d8c9c" minOccurs="0"/>
                <xsd:element ref="ns2:e5404abefda04403849637b8b186ca8b" minOccurs="0"/>
                <xsd:element ref="ns5:gd7dee90b1cc499f93481f7afe283926" minOccurs="0"/>
                <xsd:element ref="ns2:p8b010f7df5842dca681a0912c2bcab2" minOccurs="0"/>
                <xsd:element ref="ns3:TaxCatchAllLabel" minOccurs="0"/>
                <xsd:element ref="ns3:TaxCatchAll" minOccurs="0"/>
                <xsd:element ref="ns5:k2087b9f0eae462ba79b39e95b5da6c1" minOccurs="0"/>
                <xsd:element ref="ns2:a30301ec14f1485491da311a88d487d0" minOccurs="0"/>
                <xsd:element ref="ns5:MediaServiceMetadata" minOccurs="0"/>
                <xsd:element ref="ns5:MediaServiceFastMetadata" minOccurs="0"/>
                <xsd:element ref="ns5:MediaServiceAutoKeyPoints" minOccurs="0"/>
                <xsd:element ref="ns5:MediaServiceKeyPoints" minOccurs="0"/>
                <xsd:element ref="ns5:lcf76f155ced4ddcb4097134ff3c332f" minOccurs="0"/>
                <xsd:element ref="ns5:MediaServiceDateTaken" minOccurs="0"/>
                <xsd:element ref="ns5:MediaLengthInSeconds" minOccurs="0"/>
                <xsd:element ref="ns5:MediaServiceGenerationTime" minOccurs="0"/>
                <xsd:element ref="ns5:MediaServiceEventHashCode" minOccurs="0"/>
                <xsd:element ref="ns5:MediaServiceSearchProperties" minOccurs="0"/>
                <xsd:element ref="ns5:zpaGDPR_Sag_Beregnet" minOccurs="0"/>
                <xsd:element ref="ns7:SharedWithUsers" minOccurs="0"/>
                <xsd:element ref="ns7:SharedWithDetail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04ac8df-6fd2-482f-b819-b97b1136af7f" elementFormDefault="qualified">
    <xsd:import namespace="http://schemas.microsoft.com/office/2006/documentManagement/types"/>
    <xsd:import namespace="http://schemas.microsoft.com/office/infopath/2007/PartnerControls"/>
    <xsd:element name="rkActDate" ma:index="2" nillable="true" ma:displayName="Date of document creation" ma:description="If you upload an already existing document, you can use this field to note the original date of creating the document." ma:format="DateOnly" ma:internalName="rkActDate" ma:readOnly="false">
      <xsd:simpleType>
        <xsd:restriction base="dms:DateTime"/>
      </xsd:simpleType>
    </xsd:element>
    <xsd:element name="rkDeletionDate" ma:index="3" nillable="true" ma:displayName="Deletion Date" ma:description="" ma:format="DateOnly" ma:internalName="rkDeletionDate" ma:readOnly="false">
      <xsd:simpleType>
        <xsd:restriction base="dms:DateTime"/>
      </xsd:simpleType>
    </xsd:element>
    <xsd:element name="rkYellowNoteDoc" ma:index="4" nillable="true" ma:displayName="Yellow Note Doc" ma:internalName="rkYellowNoteDoc" ma:readOnly="false">
      <xsd:simpleType>
        <xsd:restriction base="dms:Note">
          <xsd:maxLength value="255"/>
        </xsd:restriction>
      </xsd:simpleType>
    </xsd:element>
    <xsd:element name="rkDocumentAdvis" ma:index="7" nillable="true" ma:displayName="Document Advis" ma:hidden="true" ma:internalName="rkDocumentAdvis" ma:readOnly="false">
      <xsd:simpleType>
        <xsd:restriction base="dms:Note"/>
      </xsd:simpleType>
    </xsd:element>
    <xsd:element name="rkArchivingPeriod" ma:index="8" nillable="true" ma:displayName="Archiving Period" ma:default="2019-2024" ma:hidden="true" ma:internalName="rkArchivingPeriod" ma:readOnly="false">
      <xsd:simpleType>
        <xsd:restriction base="dms:Text">
          <xsd:maxLength value="255"/>
        </xsd:restriction>
      </xsd:simpleType>
    </xsd:element>
    <xsd:element name="wpBusinessModule" ma:index="12" nillable="true" ma:displayName="Business Module" ma:default="LK Sager" ma:hidden="true" ma:internalName="wpBusinessModule" ma:readOnly="false">
      <xsd:simpleType>
        <xsd:restriction base="dms:Text"/>
      </xsd:simpleType>
    </xsd:element>
    <xsd:element name="rkProjectNumber" ma:index="13" nillable="true" ma:displayName="Project Number" ma:default="" ma:hidden="true" ma:internalName="rkProjectNumber" ma:readOnly="false">
      <xsd:simpleType>
        <xsd:restriction base="dms:Text">
          <xsd:maxLength value="255"/>
        </xsd:restriction>
      </xsd:simpleType>
    </xsd:element>
    <xsd:element name="rkCaseID" ma:index="16" nillable="true" ma:displayName="Case ID" ma:default="LK-2022-000402" ma:hidden="true" ma:internalName="rkCaseID" ma:readOnly="false">
      <xsd:simpleType>
        <xsd:restriction base="dms:Text">
          <xsd:maxLength value="255"/>
        </xsd:restriction>
      </xsd:simpleType>
    </xsd:element>
    <xsd:element name="rkConfidential" ma:index="26" nillable="true" ma:displayName="Confidential" ma:default="False" ma:description="" ma:internalName="rkConfidential" ma:readOnly="false">
      <xsd:simpleType>
        <xsd:restriction base="dms:Boolean"/>
      </xsd:simpleType>
    </xsd:element>
    <xsd:element name="e5404abefda04403849637b8b186ca8b" ma:index="28" nillable="true" ma:taxonomy="true" ma:internalName="e5404abefda04403849637b8b186ca8b" ma:taxonomyFieldName="rkDocumentStatus" ma:displayName="Document Status" ma:readOnly="false" ma:default="2;#Final|9ae6fcd9-b451-46c0-9019-188a10b11456" ma:fieldId="{e5404abe-fda0-4403-8496-37b8b186ca8b}" ma:sspId="a6bba7c3-5107-49f1-abb3-1b46ebc15f72" ma:termSetId="78361e7a-d923-40e8-a730-0048d23b6454" ma:anchorId="a29111a7-f711-4224-8350-0bd8393b3a0f" ma:open="false" ma:isKeyword="false">
      <xsd:complexType>
        <xsd:sequence>
          <xsd:element ref="pc:Terms" minOccurs="0" maxOccurs="1"/>
        </xsd:sequence>
      </xsd:complexType>
    </xsd:element>
    <xsd:element name="p8b010f7df5842dca681a0912c2bcab2" ma:index="31" nillable="true" ma:taxonomy="true" ma:internalName="p8b010f7df5842dca681a0912c2bcab2" ma:taxonomyFieldName="rkDocDirection" ma:displayName="Document Direction" ma:readOnly="false" ma:default="1;#Internal|bf6bc60c-60b7-4f48-b412-c18e1ee58d20" ma:fieldId="{98b010f7-df58-42dc-a681-a0912c2bcab2}" ma:sspId="a6bba7c3-5107-49f1-abb3-1b46ebc15f72" ma:termSetId="79fb452f-4e81-49d7-bc6b-6702f6ca3880" ma:anchorId="ff9dba2f-780a-414f-8471-20c97a51bfc6" ma:open="false" ma:isKeyword="false">
      <xsd:complexType>
        <xsd:sequence>
          <xsd:element ref="pc:Terms" minOccurs="0" maxOccurs="1"/>
        </xsd:sequence>
      </xsd:complexType>
    </xsd:element>
    <xsd:element name="a30301ec14f1485491da311a88d487d0" ma:index="37" nillable="true" ma:taxonomy="true" ma:internalName="a30301ec14f1485491da311a88d487d0" ma:taxonomyFieldName="rkOpenConfidential" ma:displayName="Open/Confidential" ma:readOnly="false" ma:default="" ma:fieldId="{a30301ec-14f1-4854-91da-311a88d487d0}" ma:sspId="a6bba7c3-5107-49f1-abb3-1b46ebc15f72" ma:termSetId="a89445e1-73f4-4940-9c6c-20c6e19149d6" ma:anchorId="38c548bf-e54a-488a-9205-2631695ae108"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a29e298-6711-4c2e-b998-25b6d616e0da" elementFormDefault="qualified">
    <xsd:import namespace="http://schemas.microsoft.com/office/2006/documentManagement/types"/>
    <xsd:import namespace="http://schemas.microsoft.com/office/infopath/2007/PartnerControls"/>
    <xsd:element name="TaxCatchAllLabel" ma:index="32" nillable="true" ma:displayName="Taxonomy Catch All Column1" ma:hidden="true" ma:list="{23018d78-2d73-4d4e-a452-5c0405b59f4b}" ma:internalName="TaxCatchAllLabel" ma:readOnly="true" ma:showField="CatchAllDataLabel" ma:web="9a29e298-6711-4c2e-b998-25b6d616e0da">
      <xsd:complexType>
        <xsd:complexContent>
          <xsd:extension base="dms:MultiChoiceLookup">
            <xsd:sequence>
              <xsd:element name="Value" type="dms:Lookup" maxOccurs="unbounded" minOccurs="0" nillable="true"/>
            </xsd:sequence>
          </xsd:extension>
        </xsd:complexContent>
      </xsd:complexType>
    </xsd:element>
    <xsd:element name="TaxCatchAll" ma:index="33" nillable="true" ma:displayName="Taxonomy Catch All Column" ma:hidden="true" ma:list="{23018d78-2d73-4d4e-a452-5c0405b59f4b}" ma:internalName="TaxCatchAll" ma:showField="CatchAllData" ma:web="9a29e298-6711-4c2e-b998-25b6d616e0d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bbeec68-b05e-4e2e-88e5-2ac3e13fe809" elementFormDefault="qualified">
    <xsd:import namespace="http://schemas.microsoft.com/office/2006/documentManagement/types"/>
    <xsd:import namespace="http://schemas.microsoft.com/office/infopath/2007/PartnerControls"/>
    <xsd:element name="wp_tag" ma:index="9" nillable="true" ma:displayName="Stage tag" ma:default="Open" ma:internalName="wp_tag" ma:readOnly="false">
      <xsd:simpleType>
        <xsd:restriction base="dms:Text"/>
      </xsd:simpleType>
    </xsd:element>
    <xsd:element name="wpDocumentId" ma:index="10" nillable="true" ma:displayName="Document ID" ma:description="This field is can be used as a unique Document ID set by the WorkPoint Numerator Service" ma:hidden="true" ma:internalName="wpDocumentId"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5a70923-3bf2-47cf-8b1f-69f36b134e00" elementFormDefault="qualified">
    <xsd:import namespace="http://schemas.microsoft.com/office/2006/documentManagement/types"/>
    <xsd:import namespace="http://schemas.microsoft.com/office/infopath/2007/PartnerControls"/>
    <xsd:element name="wp_entitynamefield" ma:index="11" nillable="true" ma:displayName="Case name" ma:default="PS Centre Training Curriculum" ma:hidden="true" ma:internalName="wp_entitynamefield" ma:readOnly="false">
      <xsd:simpleType>
        <xsd:restriction base="dms:Text"/>
      </xsd:simpleType>
    </xsd:element>
    <xsd:element name="rkParentCase" ma:index="18" nillable="true" ma:displayName="Parent Case ID" ma:default="" ma:hidden="true" ma:internalName="rkParentCase" ma:readOnly="false">
      <xsd:simpleType>
        <xsd:restriction base="dms:Text"/>
      </xsd:simpleType>
    </xsd:element>
    <xsd:element name="rkParentCase_x003a_Name" ma:index="19" nillable="true" ma:displayName="Parent Case" ma:default="" ma:hidden="true" ma:internalName="rkParentCase_x003a_Name" ma:readOnly="false">
      <xsd:simpleType>
        <xsd:restriction base="dms:Text"/>
      </xsd:simpleType>
    </xsd:element>
    <xsd:element name="a132bdfb546f423c8c75fff6759d8c9c" ma:index="27" nillable="true" ma:taxonomy="true" ma:internalName="a132bdfb546f423c8c75fff6759d8c9c" ma:taxonomyFieldName="rkProcess" ma:displayName="Process" ma:readOnly="false" ma:default="" ma:fieldId="{a132bdfb-546f-423c-8c75-fff6759d8c9c}" ma:sspId="a6bba7c3-5107-49f1-abb3-1b46ebc15f72" ma:termSetId="00571633-8780-43e7-b6b1-637829dbeb78" ma:anchorId="22bfe7ec-e31c-43a5-822a-3141cd045829" ma:open="false" ma:isKeyword="false">
      <xsd:complexType>
        <xsd:sequence>
          <xsd:element ref="pc:Terms" minOccurs="0" maxOccurs="1"/>
        </xsd:sequence>
      </xsd:complexType>
    </xsd:element>
    <xsd:element name="gd7dee90b1cc499f93481f7afe283926" ma:index="30" nillable="true" ma:taxonomy="true" ma:internalName="gd7dee90b1cc499f93481f7afe283926" ma:taxonomyFieldName="rkCaseRespUnit" ma:displayName="Case Responsible Unit" ma:readOnly="false" ma:default="201;#Psykosociale Referencecenter:PSP Operations|64f39463-cbcd-4306-81e0-8c9d43d647f9" ma:fieldId="{0d7dee90-b1cc-499f-9348-1f7afe283926}" ma:sspId="a6bba7c3-5107-49f1-abb3-1b46ebc15f72" ma:termSetId="8e0c7b93-44db-40e5-8783-45b8f0433ae4" ma:anchorId="00000000-0000-0000-0000-000000000000" ma:open="false" ma:isKeyword="false">
      <xsd:complexType>
        <xsd:sequence>
          <xsd:element ref="pc:Terms" minOccurs="0" maxOccurs="1"/>
        </xsd:sequence>
      </xsd:complexType>
    </xsd:element>
    <xsd:element name="k2087b9f0eae462ba79b39e95b5da6c1" ma:index="34" nillable="true" ma:taxonomy="true" ma:internalName="k2087b9f0eae462ba79b39e95b5da6c1" ma:taxonomyFieldName="rkSubject" ma:displayName="Subject" ma:readOnly="false" ma:default="58;#Mental Health and Psychosocial Support|c3d237ec-4728-4433-8c55-55bdd81b6d7c;#1;##Internal administration|612d00ef-247d-434e-82e1-015cd6d837a0" ma:fieldId="{42087b9f-0eae-462b-a79b-39e95b5da6c1}" ma:taxonomyMulti="true" ma:sspId="a6bba7c3-5107-49f1-abb3-1b46ebc15f72" ma:termSetId="c39bd6dd-8752-448c-817a-60b94217b09a" ma:anchorId="877d3b0b-78a5-436d-b780-b7d2507d4384" ma:open="false" ma:isKeyword="false">
      <xsd:complexType>
        <xsd:sequence>
          <xsd:element ref="pc:Terms" minOccurs="0" maxOccurs="1"/>
        </xsd:sequence>
      </xsd:complexType>
    </xsd:element>
    <xsd:element name="MediaServiceMetadata" ma:index="38" nillable="true" ma:displayName="MediaServiceMetadata" ma:hidden="true" ma:internalName="MediaServiceMetadata" ma:readOnly="true">
      <xsd:simpleType>
        <xsd:restriction base="dms:Note"/>
      </xsd:simpleType>
    </xsd:element>
    <xsd:element name="MediaServiceFastMetadata" ma:index="39" nillable="true" ma:displayName="MediaServiceFastMetadata" ma:hidden="true" ma:internalName="MediaServiceFastMetadata" ma:readOnly="true">
      <xsd:simpleType>
        <xsd:restriction base="dms:Note"/>
      </xsd:simpleType>
    </xsd:element>
    <xsd:element name="MediaServiceAutoKeyPoints" ma:index="40" nillable="true" ma:displayName="MediaServiceAutoKeyPoints" ma:hidden="true" ma:internalName="MediaServiceAutoKeyPoints" ma:readOnly="true">
      <xsd:simpleType>
        <xsd:restriction base="dms:Note"/>
      </xsd:simpleType>
    </xsd:element>
    <xsd:element name="MediaServiceKeyPoints" ma:index="41" nillable="true" ma:displayName="KeyPoints" ma:internalName="MediaServiceKeyPoints" ma:readOnly="true">
      <xsd:simpleType>
        <xsd:restriction base="dms:Note">
          <xsd:maxLength value="255"/>
        </xsd:restriction>
      </xsd:simpleType>
    </xsd:element>
    <xsd:element name="lcf76f155ced4ddcb4097134ff3c332f" ma:index="43" nillable="true" ma:taxonomy="true" ma:internalName="lcf76f155ced4ddcb4097134ff3c332f" ma:taxonomyFieldName="MediaServiceImageTags" ma:displayName="Image Tags" ma:readOnly="false" ma:fieldId="{5cf76f15-5ced-4ddc-b409-7134ff3c332f}" ma:taxonomyMulti="true" ma:sspId="a6bba7c3-5107-49f1-abb3-1b46ebc15f72" ma:termSetId="09814cd3-568e-fe90-9814-8d621ff8fb84" ma:anchorId="fba54fb3-c3e1-fe81-a776-ca4b69148c4d" ma:open="true" ma:isKeyword="false">
      <xsd:complexType>
        <xsd:sequence>
          <xsd:element ref="pc:Terms" minOccurs="0" maxOccurs="1"/>
        </xsd:sequence>
      </xsd:complexType>
    </xsd:element>
    <xsd:element name="MediaServiceDateTaken" ma:index="44" nillable="true" ma:displayName="MediaServiceDateTaken" ma:hidden="true" ma:internalName="MediaServiceDateTaken" ma:readOnly="true">
      <xsd:simpleType>
        <xsd:restriction base="dms:Text"/>
      </xsd:simpleType>
    </xsd:element>
    <xsd:element name="MediaLengthInSeconds" ma:index="45" nillable="true" ma:displayName="MediaLengthInSeconds" ma:hidden="true" ma:internalName="MediaLengthInSeconds" ma:readOnly="true">
      <xsd:simpleType>
        <xsd:restriction base="dms:Unknown"/>
      </xsd:simpleType>
    </xsd:element>
    <xsd:element name="MediaServiceGenerationTime" ma:index="46" nillable="true" ma:displayName="MediaServiceGenerationTime" ma:hidden="true" ma:internalName="MediaServiceGenerationTime" ma:readOnly="true">
      <xsd:simpleType>
        <xsd:restriction base="dms:Text"/>
      </xsd:simpleType>
    </xsd:element>
    <xsd:element name="MediaServiceEventHashCode" ma:index="47" nillable="true" ma:displayName="MediaServiceEventHashCode" ma:hidden="true" ma:internalName="MediaServiceEventHashCode" ma:readOnly="true">
      <xsd:simpleType>
        <xsd:restriction base="dms:Text"/>
      </xsd:simpleType>
    </xsd:element>
    <xsd:element name="MediaServiceSearchProperties" ma:index="48" nillable="true" ma:displayName="MediaServiceSearchProperties" ma:hidden="true" ma:internalName="MediaServiceSearchProperties" ma:readOnly="true">
      <xsd:simpleType>
        <xsd:restriction base="dms:Note"/>
      </xsd:simpleType>
    </xsd:element>
    <xsd:element name="zpaGDPR_Sag_Beregnet" ma:index="49" nillable="true" ma:displayName="GDPR_Sag_Beregnet" ma:default="" ma:internalName="zpaGDPR_Sag_Beregnet" ma:readOnly="false">
      <xsd:simpleType>
        <xsd:restriction base="dms:Text"/>
      </xsd:simpleType>
    </xsd:element>
    <xsd:element name="MediaServiceObjectDetectorVersions" ma:index="5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bfd2bb-3d4a-4549-9197-f3410a8da64b" elementFormDefault="qualified">
    <xsd:import namespace="http://schemas.microsoft.com/office/2006/documentManagement/types"/>
    <xsd:import namespace="http://schemas.microsoft.com/office/infopath/2007/PartnerControls"/>
    <xsd:element name="wpItemlocation" ma:index="22" nillable="true" ma:displayName="wpItemLocation" ma:default="52f89f3b39354c7c9851847cb57fcabb;4a4729547dea44959d8bce78817e3c8e;8557;" ma:internalName="wpItem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131ee8-6c2d-4140-b0ca-c2efcac0b45d" elementFormDefault="qualified">
    <xsd:import namespace="http://schemas.microsoft.com/office/2006/documentManagement/types"/>
    <xsd:import namespace="http://schemas.microsoft.com/office/infopath/2007/PartnerControls"/>
    <xsd:element name="rkRelatedDoc" ma:index="25" nillable="true" ma:displayName="Related document" ma:hidden="true" ma:list="{25a70923-3bf2-47cf-8b1f-69f36b134e00}" ma:internalName="rkRelatedDoc" ma:readOnly="false" ma:showField="Title">
      <xsd:simpleType>
        <xsd:restriction base="dms:Lookup"/>
      </xsd:simpleType>
    </xsd:element>
    <xsd:element name="SharedWithUsers" ma:index="5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5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1"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kYellowNoteDoc xmlns="d04ac8df-6fd2-482f-b819-b97b1136af7f" xsi:nil="true"/>
    <rkParentCase xmlns="25a70923-3bf2-47cf-8b1f-69f36b134e00" xsi:nil="true"/>
    <gd7dee90b1cc499f93481f7afe283926 xmlns="25a70923-3bf2-47cf-8b1f-69f36b134e00">
      <Terms xmlns="http://schemas.microsoft.com/office/infopath/2007/PartnerControls">
        <TermInfo xmlns="http://schemas.microsoft.com/office/infopath/2007/PartnerControls">
          <TermName xmlns="http://schemas.microsoft.com/office/infopath/2007/PartnerControls">Psykosociale Referencecenter:PSP Operations</TermName>
          <TermId xmlns="http://schemas.microsoft.com/office/infopath/2007/PartnerControls">64f39463-cbcd-4306-81e0-8c9d43d647f9</TermId>
        </TermInfo>
      </Terms>
    </gd7dee90b1cc499f93481f7afe283926>
    <rkDocumentAdvis xmlns="d04ac8df-6fd2-482f-b819-b97b1136af7f" xsi:nil="true"/>
    <p8b010f7df5842dca681a0912c2bcab2 xmlns="d04ac8df-6fd2-482f-b819-b97b1136af7f">
      <Terms xmlns="http://schemas.microsoft.com/office/infopath/2007/PartnerControls">
        <TermInfo xmlns="http://schemas.microsoft.com/office/infopath/2007/PartnerControls">
          <TermName xmlns="http://schemas.microsoft.com/office/infopath/2007/PartnerControls">Internal</TermName>
          <TermId xmlns="http://schemas.microsoft.com/office/infopath/2007/PartnerControls">bf6bc60c-60b7-4f48-b412-c18e1ee58d20</TermId>
        </TermInfo>
      </Terms>
    </p8b010f7df5842dca681a0912c2bcab2>
    <lcf76f155ced4ddcb4097134ff3c332f xmlns="25a70923-3bf2-47cf-8b1f-69f36b134e00">
      <Terms xmlns="http://schemas.microsoft.com/office/infopath/2007/PartnerControls"/>
    </lcf76f155ced4ddcb4097134ff3c332f>
    <zpaGDPR_Sag_Beregnet xmlns="25a70923-3bf2-47cf-8b1f-69f36b134e00" xsi:nil="true"/>
    <a132bdfb546f423c8c75fff6759d8c9c xmlns="25a70923-3bf2-47cf-8b1f-69f36b134e00">
      <Terms xmlns="http://schemas.microsoft.com/office/infopath/2007/PartnerControls"/>
    </a132bdfb546f423c8c75fff6759d8c9c>
    <wpBusinessModule xmlns="d04ac8df-6fd2-482f-b819-b97b1136af7f">LK Sager</wpBusinessModule>
    <rkConfidential xmlns="d04ac8df-6fd2-482f-b819-b97b1136af7f">false</rkConfidential>
    <wp_tag xmlns="abbeec68-b05e-4e2e-88e5-2ac3e13fe809">Open</wp_tag>
    <rkCaseID xmlns="d04ac8df-6fd2-482f-b819-b97b1136af7f">LK-2022-000402</rkCaseID>
    <wpDocumentId xmlns="abbeec68-b05e-4e2e-88e5-2ac3e13fe809">2024-193168</wpDocumentId>
    <e5404abefda04403849637b8b186ca8b xmlns="d04ac8df-6fd2-482f-b819-b97b1136af7f">
      <Terms xmlns="http://schemas.microsoft.com/office/infopath/2007/PartnerControls">
        <TermInfo xmlns="http://schemas.microsoft.com/office/infopath/2007/PartnerControls">
          <TermName xmlns="http://schemas.microsoft.com/office/infopath/2007/PartnerControls">Final</TermName>
          <TermId xmlns="http://schemas.microsoft.com/office/infopath/2007/PartnerControls">9ae6fcd9-b451-46c0-9019-188a10b11456</TermId>
        </TermInfo>
      </Terms>
    </e5404abefda04403849637b8b186ca8b>
    <rkActDate xmlns="d04ac8df-6fd2-482f-b819-b97b1136af7f" xsi:nil="true"/>
    <rkRelatedDoc xmlns="74131ee8-6c2d-4140-b0ca-c2efcac0b45d" xsi:nil="true"/>
    <rkProjectNumber xmlns="d04ac8df-6fd2-482f-b819-b97b1136af7f" xsi:nil="true"/>
    <k2087b9f0eae462ba79b39e95b5da6c1 xmlns="25a70923-3bf2-47cf-8b1f-69f36b134e00">
      <Terms xmlns="http://schemas.microsoft.com/office/infopath/2007/PartnerControls">
        <TermInfo xmlns="http://schemas.microsoft.com/office/infopath/2007/PartnerControls">
          <TermName xmlns="http://schemas.microsoft.com/office/infopath/2007/PartnerControls">Mental Health and Psychosocial Support</TermName>
          <TermId xmlns="http://schemas.microsoft.com/office/infopath/2007/PartnerControls">c3d237ec-4728-4433-8c55-55bdd81b6d7c</TermId>
        </TermInfo>
        <TermInfo xmlns="http://schemas.microsoft.com/office/infopath/2007/PartnerControls">
          <TermName xmlns="http://schemas.microsoft.com/office/infopath/2007/PartnerControls">#Internal administration</TermName>
          <TermId xmlns="http://schemas.microsoft.com/office/infopath/2007/PartnerControls">612d00ef-247d-434e-82e1-015cd6d837a0</TermId>
        </TermInfo>
      </Terms>
    </k2087b9f0eae462ba79b39e95b5da6c1>
    <rkArchivingPeriod xmlns="d04ac8df-6fd2-482f-b819-b97b1136af7f">2019-2024</rkArchivingPeriod>
    <wp_entitynamefield xmlns="25a70923-3bf2-47cf-8b1f-69f36b134e00">PS Centre Training Curriculum</wp_entitynamefield>
    <rkDeletionDate xmlns="d04ac8df-6fd2-482f-b819-b97b1136af7f" xsi:nil="true"/>
    <TaxCatchAll xmlns="9a29e298-6711-4c2e-b998-25b6d616e0da">
      <Value>201</Value>
      <Value>11</Value>
      <Value>10</Value>
      <Value>9</Value>
      <Value>58</Value>
      <Value>1</Value>
    </TaxCatchAll>
    <a30301ec14f1485491da311a88d487d0 xmlns="d04ac8df-6fd2-482f-b819-b97b1136af7f">
      <Terms xmlns="http://schemas.microsoft.com/office/infopath/2007/PartnerControls">
        <TermInfo xmlns="http://schemas.microsoft.com/office/infopath/2007/PartnerControls">
          <TermName xmlns="http://schemas.microsoft.com/office/infopath/2007/PartnerControls">Open</TermName>
          <TermId xmlns="http://schemas.microsoft.com/office/infopath/2007/PartnerControls">5b634c15-81a0-4474-a1b9-c7fcf95d35c4</TermId>
        </TermInfo>
      </Terms>
    </a30301ec14f1485491da311a88d487d0>
    <rkParentCase_x003a_Name xmlns="25a70923-3bf2-47cf-8b1f-69f36b134e00" xsi:nil="true"/>
    <wpItemlocation xmlns="14bfd2bb-3d4a-4549-9197-f3410a8da64b">52f89f3b39354c7c9851847cb57fcabb;4a4729547dea44959d8bce78817e3c8e;8557;</wpItemlocation>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30BCEDF3-A9B3-4DDC-A683-0CF1FC1EBD04}"/>
</file>

<file path=customXML/itemProps3.xml><?xml version="1.0" encoding="utf-8"?>
<ds:datastoreItem xmlns:ds="http://schemas.openxmlformats.org/officeDocument/2006/customXml" ds:itemID="{83981F24-A4A6-45A0-A129-3EFCFC998E5C}"/>
</file>

<file path=customXML/itemProps4.xml><?xml version="1.0" encoding="utf-8"?>
<ds:datastoreItem xmlns:ds="http://schemas.openxmlformats.org/officeDocument/2006/customXml" ds:itemID="{AD68B845-608E-46AF-9F0F-40A2522154EA}"/>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Kelly McBride</dc:creator>
  <dcterms:created xsi:type="dcterms:W3CDTF">2020-12-14T13:21:00Z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0x010100BAF7254234723E48BEAA5279D19E83B800EBB4AA2DC59ED041BFD0D8CBDBF3954F</vt:lpwstr>
  </property>
  <property fmtid="{D5CDD505-2E9C-101B-9397-08002B2CF9AE}" pid="3" name="rkSubject">
    <vt:lpwstr>58;#Mental Health and Psychosocial Support|c3d237ec-4728-4433-8c55-55bdd81b6d7c;#1;##Internal administration|612d00ef-247d-434e-82e1-015cd6d837a0</vt:lpwstr>
  </property>
  <property fmtid="{D5CDD505-2E9C-101B-9397-08002B2CF9AE}" pid="4" name="rkCaseRespUnit">
    <vt:lpwstr>201;#Psykosociale Referencecenter:PSP Operations|64f39463-cbcd-4306-81e0-8c9d43d647f9</vt:lpwstr>
  </property>
  <property fmtid="{D5CDD505-2E9C-101B-9397-08002B2CF9AE}" pid="5" name="rkProcess">
    <vt:lpwstr/>
  </property>
  <property fmtid="{D5CDD505-2E9C-101B-9397-08002B2CF9AE}" pid="6" name="rkOpenConfidential">
    <vt:lpwstr>9;#Open|5b634c15-81a0-4474-a1b9-c7fcf95d35c4</vt:lpwstr>
  </property>
  <property fmtid="{D5CDD505-2E9C-101B-9397-08002B2CF9AE}" pid="7" name="rkDocDirection">
    <vt:lpwstr>10;#Internal|bf6bc60c-60b7-4f48-b412-c18e1ee58d20</vt:lpwstr>
  </property>
  <property fmtid="{D5CDD505-2E9C-101B-9397-08002B2CF9AE}" pid="8" name="rkDocumentStatus">
    <vt:lpwstr>11;#Final|9ae6fcd9-b451-46c0-9019-188a10b11456</vt:lpwstr>
  </property>
  <property fmtid="{D5CDD505-2E9C-101B-9397-08002B2CF9AE}" pid="9" name="MediaServiceImageTags">
    <vt:lpwstr/>
  </property>
</Properties>
</file>